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63A5" w14:textId="77777777" w:rsidR="00A017AE" w:rsidRPr="00A017AE" w:rsidRDefault="00A017AE" w:rsidP="00A017AE">
      <w:pPr>
        <w:pStyle w:val="Heading1"/>
      </w:pPr>
      <w:r w:rsidRPr="00A017AE">
        <w:t>CVT Program Assessment Committee Meeting Minutes</w:t>
      </w:r>
    </w:p>
    <w:p w14:paraId="09946C23" w14:textId="489D396C" w:rsidR="00A017AE" w:rsidRPr="00A017AE" w:rsidRDefault="00A017AE" w:rsidP="00A017AE">
      <w:r w:rsidRPr="00A017AE">
        <w:t>Date: </w:t>
      </w:r>
      <w:r w:rsidRPr="00A017AE">
        <w:t>April 30, 2026</w:t>
      </w:r>
      <w:r w:rsidRPr="00A017AE">
        <w:br/>
        <w:t>Time: </w:t>
      </w:r>
      <w:r w:rsidRPr="00A017AE">
        <w:t>11 am</w:t>
      </w:r>
      <w:r w:rsidRPr="00A017AE">
        <w:br/>
        <w:t>Location: </w:t>
      </w:r>
      <w:r w:rsidRPr="00A017AE">
        <w:t>Zoom</w:t>
      </w:r>
    </w:p>
    <w:p w14:paraId="1E05413A" w14:textId="77777777" w:rsidR="00A017AE" w:rsidRPr="00A017AE" w:rsidRDefault="00A017AE" w:rsidP="00A017AE">
      <w:r w:rsidRPr="00A017AE">
        <w:t>Present:</w:t>
      </w:r>
    </w:p>
    <w:p w14:paraId="4AA3FEA0" w14:textId="77777777" w:rsidR="00A017AE" w:rsidRPr="00A017AE" w:rsidRDefault="00A017AE" w:rsidP="00A017AE">
      <w:r w:rsidRPr="00A017AE">
        <w:t>Jean Newberry, Program Director</w:t>
      </w:r>
    </w:p>
    <w:p w14:paraId="106C0E94" w14:textId="2F2BDCA5" w:rsidR="00A017AE" w:rsidRPr="00A017AE" w:rsidRDefault="00A017AE" w:rsidP="00A017AE">
      <w:r w:rsidRPr="00A017AE">
        <w:t xml:space="preserve">Sarah </w:t>
      </w:r>
      <w:r w:rsidRPr="00A017AE">
        <w:t>Malik</w:t>
      </w:r>
      <w:r w:rsidRPr="00A017AE">
        <w:t>, Faculty - CVT 2841L and CVT 2920</w:t>
      </w:r>
    </w:p>
    <w:p w14:paraId="1C77FE10" w14:textId="37577442" w:rsidR="00A017AE" w:rsidRPr="00A017AE" w:rsidRDefault="00A017AE" w:rsidP="00A017AE">
      <w:r w:rsidRPr="00A017AE">
        <w:t xml:space="preserve">Ray </w:t>
      </w:r>
      <w:r w:rsidRPr="00A017AE">
        <w:t>Lenius</w:t>
      </w:r>
      <w:r w:rsidRPr="00A017AE">
        <w:t>, Faculty - CVT 2421</w:t>
      </w:r>
    </w:p>
    <w:p w14:paraId="21D8169B" w14:textId="77777777" w:rsidR="00A017AE" w:rsidRPr="00A017AE" w:rsidRDefault="00A017AE" w:rsidP="00A017AE">
      <w:r w:rsidRPr="00A017AE">
        <w:pict w14:anchorId="2769C2D2">
          <v:rect id="_x0000_i1025" style="width:0;height:.75pt" o:hralign="center" o:hrstd="t" o:hr="t" fillcolor="#a0a0a0" stroked="f"/>
        </w:pict>
      </w:r>
    </w:p>
    <w:p w14:paraId="79E80242" w14:textId="77777777" w:rsidR="00A017AE" w:rsidRPr="00A017AE" w:rsidRDefault="00A017AE" w:rsidP="00A017AE">
      <w:r w:rsidRPr="00A017AE">
        <w:t>Agenda Item: Review of PLO-2 Assessment Results (2025-2026 Academic Year)</w:t>
      </w:r>
    </w:p>
    <w:p w14:paraId="54ABA8E5" w14:textId="77777777" w:rsidR="00A017AE" w:rsidRPr="00A017AE" w:rsidRDefault="00A017AE" w:rsidP="00A017AE">
      <w:pPr>
        <w:pStyle w:val="Heading2"/>
      </w:pPr>
      <w:r w:rsidRPr="00A017AE">
        <w:t>I. Meeting Purpose</w:t>
      </w:r>
    </w:p>
    <w:p w14:paraId="587B2A0A" w14:textId="77777777" w:rsidR="00A017AE" w:rsidRPr="00A017AE" w:rsidRDefault="00A017AE" w:rsidP="00A017AE">
      <w:r w:rsidRPr="00A017AE">
        <w:t>Jean Newberry called the meeting to order to review Program Learning Outcome 2 (PLO-2) assessment results from all three assessment points during the 2025-2026 academic year.</w:t>
      </w:r>
    </w:p>
    <w:p w14:paraId="08089B1A" w14:textId="77777777" w:rsidR="00A017AE" w:rsidRPr="00A017AE" w:rsidRDefault="00A017AE" w:rsidP="00A017AE">
      <w:r w:rsidRPr="00A017AE">
        <w:t>PLO-2: "Critically think through data analysis. Analyze patient data from diagnostic tests, physical exams, and procedural monitoring to assist in recommending and implementing appropriate cardiovascular interventions."</w:t>
      </w:r>
    </w:p>
    <w:p w14:paraId="4D32E346" w14:textId="77777777" w:rsidR="00A017AE" w:rsidRPr="00A017AE" w:rsidRDefault="00A017AE" w:rsidP="00A017AE">
      <w:r w:rsidRPr="00A017AE">
        <w:t>Performance Benchmark: 85% of students achieving a score of 85% or higher</w:t>
      </w:r>
    </w:p>
    <w:p w14:paraId="3445E26D" w14:textId="77777777" w:rsidR="00A017AE" w:rsidRPr="00A017AE" w:rsidRDefault="00A017AE" w:rsidP="00A017AE">
      <w:r w:rsidRPr="00A017AE">
        <w:pict w14:anchorId="1F63C3D0">
          <v:rect id="_x0000_i1026" style="width:0;height:.75pt" o:hralign="center" o:hrstd="t" o:hr="t" fillcolor="#a0a0a0" stroked="f"/>
        </w:pict>
      </w:r>
    </w:p>
    <w:p w14:paraId="780C3BF2" w14:textId="77777777" w:rsidR="00A017AE" w:rsidRPr="00A017AE" w:rsidRDefault="00A017AE" w:rsidP="00A017AE">
      <w:pPr>
        <w:pStyle w:val="Heading2"/>
      </w:pPr>
      <w:r w:rsidRPr="00A017AE">
        <w:t>II. Assessment Results Summary</w:t>
      </w:r>
    </w:p>
    <w:tbl>
      <w:tblPr>
        <w:tblW w:w="0" w:type="auto"/>
        <w:tblInd w:w="-375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133"/>
        <w:gridCol w:w="1467"/>
        <w:gridCol w:w="2242"/>
        <w:gridCol w:w="1603"/>
        <w:gridCol w:w="1968"/>
      </w:tblGrid>
      <w:tr w:rsidR="00A017AE" w:rsidRPr="00A017AE" w14:paraId="6F62B352" w14:textId="77777777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75" w:type="dxa"/>
              <w:bottom w:w="75" w:type="dxa"/>
              <w:right w:w="150" w:type="dxa"/>
            </w:tcMar>
            <w:vAlign w:val="center"/>
            <w:hideMark/>
          </w:tcPr>
          <w:p w14:paraId="0864B6A4" w14:textId="77777777" w:rsidR="00A017AE" w:rsidRPr="00A017AE" w:rsidRDefault="00A017AE" w:rsidP="00A017AE">
            <w:r w:rsidRPr="00A017AE">
              <w:t>Course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1ABF71A5" w14:textId="77777777" w:rsidR="00A017AE" w:rsidRPr="00A017AE" w:rsidRDefault="00A017AE" w:rsidP="00A017AE">
            <w:r w:rsidRPr="00A017AE">
              <w:t>Timing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3D778608" w14:textId="77777777" w:rsidR="00A017AE" w:rsidRPr="00A017AE" w:rsidRDefault="00A017AE" w:rsidP="00A017AE">
            <w:r w:rsidRPr="00A017AE">
              <w:t>Instructor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2D5DB880" w14:textId="77777777" w:rsidR="00A017AE" w:rsidRPr="00A017AE" w:rsidRDefault="00A017AE" w:rsidP="00A017AE">
            <w:r w:rsidRPr="00A017AE">
              <w:t>Assessment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7F7BC6EF" w14:textId="77777777" w:rsidR="00A017AE" w:rsidRPr="00A017AE" w:rsidRDefault="00A017AE" w:rsidP="00A017AE">
            <w:r w:rsidRPr="00A017AE">
              <w:t>Score Range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4A8BC71E" w14:textId="77777777" w:rsidR="00A017AE" w:rsidRPr="00A017AE" w:rsidRDefault="00A017AE" w:rsidP="00A017AE">
            <w:r w:rsidRPr="00A017AE">
              <w:t>Benchmark Achievement</w:t>
            </w:r>
          </w:p>
        </w:tc>
      </w:tr>
      <w:tr w:rsidR="00A017AE" w:rsidRPr="00A017AE" w14:paraId="1E97F4BB" w14:textId="7777777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75" w:type="dxa"/>
              <w:bottom w:w="75" w:type="dxa"/>
              <w:right w:w="150" w:type="dxa"/>
            </w:tcMar>
            <w:vAlign w:val="center"/>
            <w:hideMark/>
          </w:tcPr>
          <w:p w14:paraId="3886406F" w14:textId="77777777" w:rsidR="00A017AE" w:rsidRPr="00A017AE" w:rsidRDefault="00A017AE" w:rsidP="00A017AE">
            <w:r w:rsidRPr="00A017AE">
              <w:t>CVT 2421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1162AEAE" w14:textId="77777777" w:rsidR="00A017AE" w:rsidRPr="00A017AE" w:rsidRDefault="00A017AE" w:rsidP="00A017AE">
            <w:r w:rsidRPr="00A017AE">
              <w:t>Fall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11D40036" w14:textId="77777777" w:rsidR="00A017AE" w:rsidRPr="00A017AE" w:rsidRDefault="00A017AE" w:rsidP="00A017AE">
            <w:r w:rsidRPr="00A017AE">
              <w:t>Ray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0D18D789" w14:textId="77777777" w:rsidR="00A017AE" w:rsidRPr="00A017AE" w:rsidRDefault="00A017AE" w:rsidP="00A017AE">
            <w:r w:rsidRPr="00A017AE">
              <w:t>Textbook case presentation (4-5 min PowerPoint)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0D1153ED" w14:textId="77777777" w:rsidR="00A017AE" w:rsidRPr="00A017AE" w:rsidRDefault="00A017AE" w:rsidP="00A017AE">
            <w:r w:rsidRPr="00A017AE">
              <w:t>88-98%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6CCD6491" w14:textId="77777777" w:rsidR="00A017AE" w:rsidRPr="00A017AE" w:rsidRDefault="00A017AE" w:rsidP="00A017AE">
            <w:r w:rsidRPr="00A017AE">
              <w:t>100% met benchmark</w:t>
            </w:r>
          </w:p>
        </w:tc>
      </w:tr>
      <w:tr w:rsidR="00A017AE" w:rsidRPr="00A017AE" w14:paraId="644B9728" w14:textId="7777777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75" w:type="dxa"/>
              <w:bottom w:w="75" w:type="dxa"/>
              <w:right w:w="150" w:type="dxa"/>
            </w:tcMar>
            <w:vAlign w:val="center"/>
            <w:hideMark/>
          </w:tcPr>
          <w:p w14:paraId="46946CB2" w14:textId="77777777" w:rsidR="00A017AE" w:rsidRPr="00A017AE" w:rsidRDefault="00A017AE" w:rsidP="00A017AE">
            <w:r w:rsidRPr="00A017AE">
              <w:t>CVT 2841L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471ABC6F" w14:textId="77777777" w:rsidR="00A017AE" w:rsidRPr="00A017AE" w:rsidRDefault="00A017AE" w:rsidP="00A017AE">
            <w:r w:rsidRPr="00A017AE">
              <w:t>Spring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67BBCB02" w14:textId="77777777" w:rsidR="00A017AE" w:rsidRPr="00A017AE" w:rsidRDefault="00A017AE" w:rsidP="00A017AE">
            <w:r w:rsidRPr="00A017AE">
              <w:t>Sarah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2A680004" w14:textId="77777777" w:rsidR="00A017AE" w:rsidRPr="00A017AE" w:rsidRDefault="00A017AE" w:rsidP="00A017AE">
            <w:r w:rsidRPr="00A017AE">
              <w:t>Written clinical case study (real patient)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72D56FB1" w14:textId="77777777" w:rsidR="00A017AE" w:rsidRPr="00A017AE" w:rsidRDefault="00A017AE" w:rsidP="00A017AE">
            <w:r w:rsidRPr="00A017AE">
              <w:t>87-100%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012ADC21" w14:textId="77777777" w:rsidR="00A017AE" w:rsidRPr="00A017AE" w:rsidRDefault="00A017AE" w:rsidP="00A017AE">
            <w:r w:rsidRPr="00A017AE">
              <w:t>100% met benchmark</w:t>
            </w:r>
          </w:p>
        </w:tc>
      </w:tr>
      <w:tr w:rsidR="00A017AE" w:rsidRPr="00A017AE" w14:paraId="41987836" w14:textId="7777777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75" w:type="dxa"/>
              <w:bottom w:w="75" w:type="dxa"/>
              <w:right w:w="150" w:type="dxa"/>
            </w:tcMar>
            <w:vAlign w:val="center"/>
            <w:hideMark/>
          </w:tcPr>
          <w:p w14:paraId="42F2CA13" w14:textId="77777777" w:rsidR="00A017AE" w:rsidRPr="00A017AE" w:rsidRDefault="00A017AE" w:rsidP="00A017AE">
            <w:r w:rsidRPr="00A017AE">
              <w:lastRenderedPageBreak/>
              <w:t>CVT 2920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773F1975" w14:textId="77777777" w:rsidR="00A017AE" w:rsidRPr="00A017AE" w:rsidRDefault="00A017AE" w:rsidP="00A017AE">
            <w:r w:rsidRPr="00A017AE">
              <w:t>Spring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4AC0A68C" w14:textId="77777777" w:rsidR="00A017AE" w:rsidRPr="00A017AE" w:rsidRDefault="00A017AE" w:rsidP="00A017AE">
            <w:r w:rsidRPr="00A017AE">
              <w:t>Sarah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5BC22B3D" w14:textId="77777777" w:rsidR="00A017AE" w:rsidRPr="00A017AE" w:rsidRDefault="00A017AE" w:rsidP="00A017AE">
            <w:r w:rsidRPr="00A017AE">
              <w:t>Clinical case presentation (real patient)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4301AFF5" w14:textId="77777777" w:rsidR="00A017AE" w:rsidRPr="00A017AE" w:rsidRDefault="00A017AE" w:rsidP="00A017AE">
            <w:r w:rsidRPr="00A017AE">
              <w:t>100% (all 10 students)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32C819F4" w14:textId="77777777" w:rsidR="00A017AE" w:rsidRPr="00A017AE" w:rsidRDefault="00A017AE" w:rsidP="00A017AE">
            <w:r w:rsidRPr="00A017AE">
              <w:t>100% met benchmark</w:t>
            </w:r>
          </w:p>
        </w:tc>
      </w:tr>
    </w:tbl>
    <w:p w14:paraId="11488FE7" w14:textId="77777777" w:rsidR="00A017AE" w:rsidRPr="00A017AE" w:rsidRDefault="00A017AE" w:rsidP="00A017AE">
      <w:r w:rsidRPr="00A017AE">
        <w:pict w14:anchorId="515BCE04">
          <v:rect id="_x0000_i1027" style="width:0;height:.75pt" o:hralign="center" o:hrstd="t" o:hr="t" fillcolor="#a0a0a0" stroked="f"/>
        </w:pict>
      </w:r>
    </w:p>
    <w:p w14:paraId="27C5540E" w14:textId="77777777" w:rsidR="00A017AE" w:rsidRPr="00A017AE" w:rsidRDefault="00A017AE" w:rsidP="00A017AE">
      <w:pPr>
        <w:pStyle w:val="Heading2"/>
      </w:pPr>
      <w:r w:rsidRPr="00A017AE">
        <w:t>III. Faculty Reports and Discussion</w:t>
      </w:r>
    </w:p>
    <w:p w14:paraId="58366D55" w14:textId="77777777" w:rsidR="00A017AE" w:rsidRPr="00A017AE" w:rsidRDefault="00A017AE" w:rsidP="00A017AE">
      <w:pPr>
        <w:pStyle w:val="Heading3"/>
      </w:pPr>
      <w:r w:rsidRPr="00A017AE">
        <w:t>CVT 2421 (Ray)</w:t>
      </w:r>
    </w:p>
    <w:p w14:paraId="3B0D4453" w14:textId="77777777" w:rsidR="00A017AE" w:rsidRPr="00A017AE" w:rsidRDefault="00A017AE" w:rsidP="00A017AE">
      <w:pPr>
        <w:pStyle w:val="ListParagraph"/>
        <w:numPr>
          <w:ilvl w:val="0"/>
          <w:numId w:val="9"/>
        </w:numPr>
      </w:pPr>
      <w:r w:rsidRPr="00A017AE">
        <w:t>Ray reported strong performance on students' first formal presentation in the program. All students demonstrated solid foundational skills in analyzing textbook cases.</w:t>
      </w:r>
    </w:p>
    <w:p w14:paraId="0702F3F4" w14:textId="77777777" w:rsidR="00A017AE" w:rsidRPr="00A017AE" w:rsidRDefault="00A017AE" w:rsidP="00A017AE">
      <w:pPr>
        <w:pStyle w:val="ListParagraph"/>
        <w:numPr>
          <w:ilvl w:val="0"/>
          <w:numId w:val="9"/>
        </w:numPr>
      </w:pPr>
      <w:r w:rsidRPr="00A017AE">
        <w:t>Strengths: Effective data extraction, strong technical accuracy, professional presentation skills, logical clinical reasoning</w:t>
      </w:r>
    </w:p>
    <w:p w14:paraId="17559C47" w14:textId="77777777" w:rsidR="00A017AE" w:rsidRPr="00A017AE" w:rsidRDefault="00A017AE" w:rsidP="00A017AE">
      <w:pPr>
        <w:pStyle w:val="ListParagraph"/>
        <w:numPr>
          <w:ilvl w:val="0"/>
          <w:numId w:val="9"/>
        </w:numPr>
      </w:pPr>
      <w:r w:rsidRPr="00A017AE">
        <w:t>Areas for development: Some students focused on describing rather than critically analyzing findings; data synthesis could be strengthened</w:t>
      </w:r>
    </w:p>
    <w:p w14:paraId="4A5911F4" w14:textId="77777777" w:rsidR="00A017AE" w:rsidRPr="00A017AE" w:rsidRDefault="00A017AE" w:rsidP="00A017AE">
      <w:pPr>
        <w:pStyle w:val="ListParagraph"/>
        <w:numPr>
          <w:ilvl w:val="0"/>
          <w:numId w:val="9"/>
        </w:numPr>
      </w:pPr>
      <w:r w:rsidRPr="00A017AE">
        <w:t>Ray noted the 88-98% score range provided appropriate differentiation for students at this early program stage.</w:t>
      </w:r>
    </w:p>
    <w:p w14:paraId="5612A664" w14:textId="77777777" w:rsidR="00A017AE" w:rsidRPr="00A017AE" w:rsidRDefault="00A017AE" w:rsidP="00A017AE">
      <w:pPr>
        <w:pStyle w:val="Heading3"/>
      </w:pPr>
      <w:r w:rsidRPr="00A017AE">
        <w:t>CVT 2841L (Sarah)</w:t>
      </w:r>
    </w:p>
    <w:p w14:paraId="2486219F" w14:textId="77777777" w:rsidR="00A017AE" w:rsidRPr="00A017AE" w:rsidRDefault="00A017AE" w:rsidP="00A017AE">
      <w:pPr>
        <w:pStyle w:val="ListParagraph"/>
        <w:numPr>
          <w:ilvl w:val="0"/>
          <w:numId w:val="10"/>
        </w:numPr>
      </w:pPr>
      <w:r w:rsidRPr="00A017AE">
        <w:t>Sarah reported excellent performance on written case studies based on actual clinical cases. Students successfully applied classroom learning to real-world situations.</w:t>
      </w:r>
    </w:p>
    <w:p w14:paraId="48C49BB1" w14:textId="77777777" w:rsidR="00A017AE" w:rsidRPr="00A017AE" w:rsidRDefault="00A017AE" w:rsidP="00A017AE">
      <w:pPr>
        <w:pStyle w:val="ListParagraph"/>
        <w:numPr>
          <w:ilvl w:val="0"/>
          <w:numId w:val="10"/>
        </w:numPr>
      </w:pPr>
      <w:r w:rsidRPr="00A017AE">
        <w:t>Strengths: Comprehensive documentation, strong hemodynamic analysis, professional writing, successful knowledge transfer to clinical practice</w:t>
      </w:r>
    </w:p>
    <w:p w14:paraId="3995A15B" w14:textId="77777777" w:rsidR="00A017AE" w:rsidRPr="00A017AE" w:rsidRDefault="00A017AE" w:rsidP="00A017AE">
      <w:pPr>
        <w:pStyle w:val="ListParagraph"/>
        <w:numPr>
          <w:ilvl w:val="0"/>
          <w:numId w:val="10"/>
        </w:numPr>
      </w:pPr>
      <w:r w:rsidRPr="00A017AE">
        <w:t>Areas for development: Critical analysis depth varied; pre-procedural diagnostic integration could be strengthened; evidence-based rationale could be more explicit</w:t>
      </w:r>
    </w:p>
    <w:p w14:paraId="3C5BE18C" w14:textId="77777777" w:rsidR="00A017AE" w:rsidRPr="00A017AE" w:rsidRDefault="00A017AE" w:rsidP="00A017AE">
      <w:pPr>
        <w:pStyle w:val="ListParagraph"/>
        <w:numPr>
          <w:ilvl w:val="0"/>
          <w:numId w:val="10"/>
        </w:numPr>
      </w:pPr>
      <w:r w:rsidRPr="00A017AE">
        <w:t>Sarah confirmed the 87-100% score range effectively differentiated performance levels.</w:t>
      </w:r>
    </w:p>
    <w:p w14:paraId="2BE88842" w14:textId="77777777" w:rsidR="00A017AE" w:rsidRPr="00A017AE" w:rsidRDefault="00A017AE" w:rsidP="00A017AE">
      <w:pPr>
        <w:pStyle w:val="Heading3"/>
      </w:pPr>
      <w:r w:rsidRPr="00A017AE">
        <w:t>CVT 2920 (Sarah)</w:t>
      </w:r>
    </w:p>
    <w:p w14:paraId="12C021FF" w14:textId="77777777" w:rsidR="00A017AE" w:rsidRPr="00A017AE" w:rsidRDefault="00A017AE" w:rsidP="00A017AE">
      <w:pPr>
        <w:pStyle w:val="ListParagraph"/>
        <w:numPr>
          <w:ilvl w:val="0"/>
          <w:numId w:val="11"/>
        </w:numPr>
      </w:pPr>
      <w:r w:rsidRPr="00A017AE">
        <w:t xml:space="preserve">Sarah reported that all 10 students scored 100% on their comprehensive clinical case presentations. While students demonstrated strong competency, Sarah expressed concern that the lack of score variation limits the </w:t>
      </w:r>
      <w:r w:rsidRPr="00A017AE">
        <w:lastRenderedPageBreak/>
        <w:t>assessment's ability to differentiate performance levels and identify areas for continued growth.</w:t>
      </w:r>
    </w:p>
    <w:p w14:paraId="6FE4FB31" w14:textId="77777777" w:rsidR="00A017AE" w:rsidRPr="00A017AE" w:rsidRDefault="00A017AE" w:rsidP="00A017AE">
      <w:r w:rsidRPr="00A017AE">
        <w:t xml:space="preserve">Discussion: The committee </w:t>
      </w:r>
      <w:proofErr w:type="gramStart"/>
      <w:r w:rsidRPr="00A017AE">
        <w:t>agreed this contrasts</w:t>
      </w:r>
      <w:proofErr w:type="gramEnd"/>
      <w:r w:rsidRPr="00A017AE">
        <w:t xml:space="preserve"> with CVT 2421 and CVT 2841L, which both showed meaningful score variation. The CVT 2920 assessment may need enhanced rigor to better distinguish between proficient and exemplary performance.</w:t>
      </w:r>
    </w:p>
    <w:p w14:paraId="3E85728C" w14:textId="77777777" w:rsidR="00A017AE" w:rsidRPr="00A017AE" w:rsidRDefault="00A017AE" w:rsidP="00A017AE">
      <w:r w:rsidRPr="00A017AE">
        <w:pict w14:anchorId="49FB45EC">
          <v:rect id="_x0000_i1028" style="width:0;height:.75pt" o:hralign="center" o:hrstd="t" o:hr="t" fillcolor="#a0a0a0" stroked="f"/>
        </w:pict>
      </w:r>
    </w:p>
    <w:p w14:paraId="2088467E" w14:textId="77777777" w:rsidR="00A017AE" w:rsidRPr="00A017AE" w:rsidRDefault="00A017AE" w:rsidP="00A017AE">
      <w:pPr>
        <w:pStyle w:val="Heading2"/>
      </w:pPr>
      <w:r w:rsidRPr="00A017AE">
        <w:t>IV. Overall Analysis</w:t>
      </w:r>
    </w:p>
    <w:p w14:paraId="27051D40" w14:textId="77777777" w:rsidR="00A017AE" w:rsidRPr="00A017AE" w:rsidRDefault="00A017AE" w:rsidP="00A017AE">
      <w:r w:rsidRPr="00A017AE">
        <w:t>Jean led discussion of key findings:</w:t>
      </w:r>
    </w:p>
    <w:p w14:paraId="0A3FF30D" w14:textId="77777777" w:rsidR="00A017AE" w:rsidRPr="00A017AE" w:rsidRDefault="00A017AE" w:rsidP="00A017AE">
      <w:pPr>
        <w:pStyle w:val="Heading3"/>
      </w:pPr>
      <w:r w:rsidRPr="00A017AE">
        <w:t>Strengths:</w:t>
      </w:r>
    </w:p>
    <w:p w14:paraId="525BE22F" w14:textId="77777777" w:rsidR="00A017AE" w:rsidRPr="00A017AE" w:rsidRDefault="00A017AE" w:rsidP="00A017AE">
      <w:pPr>
        <w:pStyle w:val="ListParagraph"/>
        <w:numPr>
          <w:ilvl w:val="0"/>
          <w:numId w:val="11"/>
        </w:numPr>
      </w:pPr>
      <w:r w:rsidRPr="00A017AE">
        <w:t>Consistent high achievement across all three assessments indicates effective curriculum and instruction</w:t>
      </w:r>
    </w:p>
    <w:p w14:paraId="2A010236" w14:textId="77777777" w:rsidR="00A017AE" w:rsidRPr="00A017AE" w:rsidRDefault="00A017AE" w:rsidP="00A017AE">
      <w:pPr>
        <w:pStyle w:val="ListParagraph"/>
        <w:numPr>
          <w:ilvl w:val="0"/>
          <w:numId w:val="11"/>
        </w:numPr>
      </w:pPr>
      <w:r w:rsidRPr="00A017AE">
        <w:t>Students successfully transfer classroom learning to clinical practice</w:t>
      </w:r>
    </w:p>
    <w:p w14:paraId="03BEA2FE" w14:textId="77777777" w:rsidR="00A017AE" w:rsidRPr="00A017AE" w:rsidRDefault="00A017AE" w:rsidP="00A017AE">
      <w:pPr>
        <w:pStyle w:val="ListParagraph"/>
        <w:numPr>
          <w:ilvl w:val="0"/>
          <w:numId w:val="11"/>
        </w:numPr>
      </w:pPr>
      <w:r w:rsidRPr="00A017AE">
        <w:t>Multi-point assessment strategy provides comprehensive evaluation of student development</w:t>
      </w:r>
    </w:p>
    <w:p w14:paraId="437FA7CA" w14:textId="77777777" w:rsidR="00A017AE" w:rsidRPr="00A017AE" w:rsidRDefault="00A017AE" w:rsidP="00A017AE">
      <w:pPr>
        <w:pStyle w:val="ListParagraph"/>
        <w:numPr>
          <w:ilvl w:val="0"/>
          <w:numId w:val="11"/>
        </w:numPr>
      </w:pPr>
      <w:r w:rsidRPr="00A017AE">
        <w:t>Strong technical competency and professional skills throughout the program</w:t>
      </w:r>
    </w:p>
    <w:p w14:paraId="1354CF18" w14:textId="77777777" w:rsidR="00A017AE" w:rsidRPr="00A017AE" w:rsidRDefault="00A017AE" w:rsidP="00A017AE">
      <w:pPr>
        <w:pStyle w:val="Heading3"/>
      </w:pPr>
      <w:r w:rsidRPr="00A017AE">
        <w:t>Areas for Enhancement:</w:t>
      </w:r>
    </w:p>
    <w:p w14:paraId="379995F9" w14:textId="77777777" w:rsidR="00A017AE" w:rsidRPr="00A017AE" w:rsidRDefault="00A017AE" w:rsidP="00A017AE">
      <w:pPr>
        <w:pStyle w:val="ListParagraph"/>
        <w:numPr>
          <w:ilvl w:val="0"/>
          <w:numId w:val="12"/>
        </w:numPr>
      </w:pPr>
      <w:r w:rsidRPr="00A017AE">
        <w:t>Depth of critical analysis varies—some students describe findings well but could strengthen critical evaluation</w:t>
      </w:r>
    </w:p>
    <w:p w14:paraId="1A1B4B86" w14:textId="77777777" w:rsidR="00A017AE" w:rsidRPr="00A017AE" w:rsidRDefault="00A017AE" w:rsidP="00A017AE">
      <w:pPr>
        <w:pStyle w:val="ListParagraph"/>
        <w:numPr>
          <w:ilvl w:val="0"/>
          <w:numId w:val="12"/>
        </w:numPr>
      </w:pPr>
      <w:r w:rsidRPr="00A017AE">
        <w:t>Data synthesis across multiple sources needs emphasis</w:t>
      </w:r>
    </w:p>
    <w:p w14:paraId="242D13E5" w14:textId="77777777" w:rsidR="00A017AE" w:rsidRPr="00A017AE" w:rsidRDefault="00A017AE" w:rsidP="00A017AE">
      <w:pPr>
        <w:pStyle w:val="ListParagraph"/>
        <w:numPr>
          <w:ilvl w:val="0"/>
          <w:numId w:val="12"/>
        </w:numPr>
      </w:pPr>
      <w:r w:rsidRPr="00A017AE">
        <w:t>Evidence-based reasoning connections could be more explicit</w:t>
      </w:r>
    </w:p>
    <w:p w14:paraId="70610537" w14:textId="77777777" w:rsidR="00A017AE" w:rsidRPr="00A017AE" w:rsidRDefault="00A017AE" w:rsidP="00A017AE">
      <w:pPr>
        <w:pStyle w:val="ListParagraph"/>
        <w:numPr>
          <w:ilvl w:val="0"/>
          <w:numId w:val="12"/>
        </w:numPr>
      </w:pPr>
      <w:r w:rsidRPr="00A017AE">
        <w:t>CVT 2920 assessment requires revision to provide adequate rigor and performance differentiation</w:t>
      </w:r>
    </w:p>
    <w:p w14:paraId="0D5EFE2E" w14:textId="77777777" w:rsidR="00A017AE" w:rsidRPr="00A017AE" w:rsidRDefault="00A017AE" w:rsidP="00A017AE">
      <w:r w:rsidRPr="00A017AE">
        <w:pict w14:anchorId="34D1DAAF">
          <v:rect id="_x0000_i1030" style="width:0;height:.75pt" o:hralign="center" o:hrstd="t" o:hr="t" fillcolor="#a0a0a0" stroked="f"/>
        </w:pict>
      </w:r>
    </w:p>
    <w:p w14:paraId="1049D726" w14:textId="532DD1B7" w:rsidR="00A017AE" w:rsidRPr="00A017AE" w:rsidRDefault="00A017AE" w:rsidP="00A017AE">
      <w:pPr>
        <w:pStyle w:val="Heading2"/>
      </w:pPr>
      <w:r w:rsidRPr="00A017AE">
        <w:t>V. Program Revision Considerations</w:t>
      </w:r>
    </w:p>
    <w:p w14:paraId="7BCF7543" w14:textId="1413B5B0" w:rsidR="00A017AE" w:rsidRPr="00A017AE" w:rsidRDefault="00A017AE" w:rsidP="00A017AE">
      <w:r w:rsidRPr="00A017AE">
        <w:t xml:space="preserve"> As the curriculum is updated, the PLO-2 assessments and assignments may change to align with the revised program structure and learning outcomes.</w:t>
      </w:r>
    </w:p>
    <w:p w14:paraId="60D28ED6" w14:textId="77777777" w:rsidR="00A017AE" w:rsidRPr="00A017AE" w:rsidRDefault="00A017AE" w:rsidP="00A017AE">
      <w:r w:rsidRPr="00A017AE">
        <w:t>The committee agreed that:</w:t>
      </w:r>
    </w:p>
    <w:p w14:paraId="08BE9F8E" w14:textId="77777777" w:rsidR="00A017AE" w:rsidRPr="00A017AE" w:rsidRDefault="00A017AE" w:rsidP="00A017AE">
      <w:pPr>
        <w:pStyle w:val="ListParagraph"/>
        <w:numPr>
          <w:ilvl w:val="0"/>
          <w:numId w:val="13"/>
        </w:numPr>
      </w:pPr>
      <w:r w:rsidRPr="00A017AE">
        <w:t>Current assessment results and identified improvements will inform the program revision process</w:t>
      </w:r>
    </w:p>
    <w:p w14:paraId="13FBCF13" w14:textId="77777777" w:rsidR="00A017AE" w:rsidRPr="00A017AE" w:rsidRDefault="00A017AE" w:rsidP="00A017AE">
      <w:pPr>
        <w:pStyle w:val="ListParagraph"/>
        <w:numPr>
          <w:ilvl w:val="0"/>
          <w:numId w:val="13"/>
        </w:numPr>
      </w:pPr>
      <w:r w:rsidRPr="00A017AE">
        <w:t>The multi-point assessment approach for PLO-2 should be maintained in the revised program</w:t>
      </w:r>
    </w:p>
    <w:p w14:paraId="3E43C021" w14:textId="77777777" w:rsidR="00A017AE" w:rsidRPr="00A017AE" w:rsidRDefault="00A017AE" w:rsidP="00A017AE">
      <w:pPr>
        <w:pStyle w:val="ListParagraph"/>
        <w:numPr>
          <w:ilvl w:val="0"/>
          <w:numId w:val="13"/>
        </w:numPr>
      </w:pPr>
      <w:r w:rsidRPr="00A017AE">
        <w:lastRenderedPageBreak/>
        <w:t>Assessment methods and assignments will be reviewed and potentially modified to align with revised curriculum</w:t>
      </w:r>
    </w:p>
    <w:p w14:paraId="482E7C9E" w14:textId="77777777" w:rsidR="00A017AE" w:rsidRPr="00A017AE" w:rsidRDefault="00A017AE" w:rsidP="00A017AE">
      <w:pPr>
        <w:pStyle w:val="ListParagraph"/>
        <w:numPr>
          <w:ilvl w:val="0"/>
          <w:numId w:val="13"/>
        </w:numPr>
      </w:pPr>
      <w:r w:rsidRPr="00A017AE">
        <w:t>The focus on data analysis and critical thinking remains central to program outcomes regardless of specific assignment formats</w:t>
      </w:r>
    </w:p>
    <w:p w14:paraId="3A6F8FF1" w14:textId="77777777" w:rsidR="00A017AE" w:rsidRPr="00A017AE" w:rsidRDefault="00A017AE" w:rsidP="00A017AE">
      <w:pPr>
        <w:pStyle w:val="ListParagraph"/>
        <w:numPr>
          <w:ilvl w:val="0"/>
          <w:numId w:val="13"/>
        </w:numPr>
      </w:pPr>
      <w:r w:rsidRPr="00A017AE">
        <w:t>Jean will keep the committee informed of program revision progress and coordinate assessment alignment with curriculum changes.</w:t>
      </w:r>
    </w:p>
    <w:p w14:paraId="076C7412" w14:textId="60262CDB" w:rsidR="00A017AE" w:rsidRPr="00A017AE" w:rsidRDefault="00A017AE" w:rsidP="00A017AE"/>
    <w:sectPr w:rsidR="00A017AE" w:rsidRPr="00A01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A5C"/>
    <w:multiLevelType w:val="multilevel"/>
    <w:tmpl w:val="A354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A5"/>
    <w:multiLevelType w:val="hybridMultilevel"/>
    <w:tmpl w:val="0400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575"/>
    <w:multiLevelType w:val="hybridMultilevel"/>
    <w:tmpl w:val="CE66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44F06"/>
    <w:multiLevelType w:val="multilevel"/>
    <w:tmpl w:val="B8E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7DBC"/>
    <w:multiLevelType w:val="multilevel"/>
    <w:tmpl w:val="DE7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D6A61"/>
    <w:multiLevelType w:val="multilevel"/>
    <w:tmpl w:val="BF02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22551"/>
    <w:multiLevelType w:val="multilevel"/>
    <w:tmpl w:val="A3F8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663F1"/>
    <w:multiLevelType w:val="hybridMultilevel"/>
    <w:tmpl w:val="C35A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B48DE"/>
    <w:multiLevelType w:val="multilevel"/>
    <w:tmpl w:val="6F44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90171B"/>
    <w:multiLevelType w:val="hybridMultilevel"/>
    <w:tmpl w:val="20C2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8202A"/>
    <w:multiLevelType w:val="hybridMultilevel"/>
    <w:tmpl w:val="3D94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17F78"/>
    <w:multiLevelType w:val="multilevel"/>
    <w:tmpl w:val="196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D5F56"/>
    <w:multiLevelType w:val="multilevel"/>
    <w:tmpl w:val="6BB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321824">
    <w:abstractNumId w:val="11"/>
  </w:num>
  <w:num w:numId="2" w16cid:durableId="1749502056">
    <w:abstractNumId w:val="3"/>
  </w:num>
  <w:num w:numId="3" w16cid:durableId="1053775081">
    <w:abstractNumId w:val="12"/>
  </w:num>
  <w:num w:numId="4" w16cid:durableId="359627150">
    <w:abstractNumId w:val="5"/>
  </w:num>
  <w:num w:numId="5" w16cid:durableId="438260051">
    <w:abstractNumId w:val="0"/>
  </w:num>
  <w:num w:numId="6" w16cid:durableId="1245992083">
    <w:abstractNumId w:val="4"/>
  </w:num>
  <w:num w:numId="7" w16cid:durableId="1456095475">
    <w:abstractNumId w:val="6"/>
  </w:num>
  <w:num w:numId="8" w16cid:durableId="2078740834">
    <w:abstractNumId w:val="8"/>
  </w:num>
  <w:num w:numId="9" w16cid:durableId="1641614789">
    <w:abstractNumId w:val="10"/>
  </w:num>
  <w:num w:numId="10" w16cid:durableId="554507424">
    <w:abstractNumId w:val="9"/>
  </w:num>
  <w:num w:numId="11" w16cid:durableId="1547789058">
    <w:abstractNumId w:val="2"/>
  </w:num>
  <w:num w:numId="12" w16cid:durableId="1613242241">
    <w:abstractNumId w:val="7"/>
  </w:num>
  <w:num w:numId="13" w16cid:durableId="173488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AE"/>
    <w:rsid w:val="00116DEF"/>
    <w:rsid w:val="004F4226"/>
    <w:rsid w:val="00925260"/>
    <w:rsid w:val="00A017AE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26BF"/>
  <w15:chartTrackingRefBased/>
  <w15:docId w15:val="{B15E8BCD-8F54-4100-8D31-90A0B03A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1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1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663</Words>
  <Characters>3783</Characters>
  <Application>Microsoft Office Word</Application>
  <DocSecurity>0</DocSecurity>
  <Lines>31</Lines>
  <Paragraphs>8</Paragraphs>
  <ScaleCrop>false</ScaleCrop>
  <Company>FSW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Newberry</dc:creator>
  <cp:keywords/>
  <dc:description/>
  <cp:lastModifiedBy>Jean M. Newberry</cp:lastModifiedBy>
  <cp:revision>1</cp:revision>
  <dcterms:created xsi:type="dcterms:W3CDTF">2026-05-26T20:00:00Z</dcterms:created>
  <dcterms:modified xsi:type="dcterms:W3CDTF">2026-05-26T20:07:00Z</dcterms:modified>
</cp:coreProperties>
</file>