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417"/>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50"/>
        <w:gridCol w:w="3780"/>
        <w:gridCol w:w="450"/>
        <w:gridCol w:w="2785"/>
        <w:gridCol w:w="450"/>
        <w:gridCol w:w="2970"/>
        <w:gridCol w:w="450"/>
        <w:gridCol w:w="3065"/>
      </w:tblGrid>
      <w:tr w:rsidR="00987130" w:rsidRPr="00E9667E" w:rsidTr="00987130">
        <w:trPr>
          <w:cantSplit/>
          <w:trHeight w:val="256"/>
        </w:trPr>
        <w:tc>
          <w:tcPr>
            <w:tcW w:w="14400" w:type="dxa"/>
            <w:gridSpan w:val="8"/>
            <w:tcBorders>
              <w:bottom w:val="single" w:sz="4" w:space="0" w:color="auto"/>
            </w:tcBorders>
            <w:shd w:val="clear" w:color="auto" w:fill="D9E2F3" w:themeFill="accent1" w:themeFillTint="33"/>
          </w:tcPr>
          <w:p w:rsidR="00987130" w:rsidRPr="009B6B56" w:rsidRDefault="009354C5" w:rsidP="00987130">
            <w:pPr>
              <w:pStyle w:val="Header"/>
              <w:jc w:val="center"/>
              <w:rPr>
                <w:rFonts w:cstheme="minorHAnsi"/>
                <w:b/>
                <w:sz w:val="24"/>
                <w:szCs w:val="24"/>
              </w:rPr>
            </w:pPr>
            <w:bookmarkStart w:id="0" w:name="_GoBack"/>
            <w:bookmarkEnd w:id="0"/>
            <w:r>
              <w:rPr>
                <w:rFonts w:cstheme="minorHAnsi"/>
                <w:b/>
                <w:noProof/>
                <w:sz w:val="24"/>
                <w:szCs w:val="24"/>
              </w:rPr>
              <w:t>Dec</w:t>
            </w:r>
            <w:r w:rsidR="0079204F">
              <w:rPr>
                <w:rFonts w:cstheme="minorHAnsi"/>
                <w:b/>
                <w:noProof/>
                <w:sz w:val="24"/>
                <w:szCs w:val="24"/>
              </w:rPr>
              <w:t xml:space="preserve"> 1</w:t>
            </w:r>
            <w:r>
              <w:rPr>
                <w:rFonts w:cstheme="minorHAnsi"/>
                <w:b/>
                <w:noProof/>
                <w:sz w:val="24"/>
                <w:szCs w:val="24"/>
              </w:rPr>
              <w:t>2</w:t>
            </w:r>
            <w:r w:rsidR="0079204F">
              <w:rPr>
                <w:rFonts w:cstheme="minorHAnsi"/>
                <w:b/>
                <w:noProof/>
                <w:sz w:val="24"/>
                <w:szCs w:val="24"/>
              </w:rPr>
              <w:t>, 2025</w:t>
            </w:r>
            <w:r w:rsidR="00987130">
              <w:rPr>
                <w:rFonts w:cstheme="minorHAnsi"/>
                <w:b/>
                <w:noProof/>
                <w:sz w:val="24"/>
                <w:szCs w:val="24"/>
              </w:rPr>
              <w:t xml:space="preserve"> BSN Workshop &amp; Meeting Minutes</w:t>
            </w:r>
          </w:p>
          <w:p w:rsidR="00987130" w:rsidRDefault="00987130" w:rsidP="00987130">
            <w:pPr>
              <w:pStyle w:val="TableHeader"/>
            </w:pPr>
          </w:p>
        </w:tc>
      </w:tr>
      <w:tr w:rsidR="009354C5" w:rsidRPr="00E9667E" w:rsidTr="00987130">
        <w:trPr>
          <w:cantSplit/>
          <w:trHeight w:val="256"/>
        </w:trPr>
        <w:tc>
          <w:tcPr>
            <w:tcW w:w="14400" w:type="dxa"/>
            <w:gridSpan w:val="8"/>
            <w:tcBorders>
              <w:bottom w:val="single" w:sz="4" w:space="0" w:color="auto"/>
            </w:tcBorders>
            <w:shd w:val="clear" w:color="auto" w:fill="D9E2F3" w:themeFill="accent1" w:themeFillTint="33"/>
          </w:tcPr>
          <w:p w:rsidR="009354C5" w:rsidRPr="00E9667E" w:rsidRDefault="009354C5" w:rsidP="009354C5">
            <w:pPr>
              <w:pStyle w:val="TableHeader"/>
            </w:pPr>
            <w:r>
              <w:t>Workshop and Meeting time 0930-1130 and 1200 - 1600</w:t>
            </w:r>
          </w:p>
        </w:tc>
      </w:tr>
      <w:tr w:rsidR="009354C5" w:rsidRPr="00E9667E" w:rsidTr="00987130">
        <w:trPr>
          <w:cantSplit/>
          <w:trHeight w:val="256"/>
        </w:trPr>
        <w:tc>
          <w:tcPr>
            <w:tcW w:w="14400" w:type="dxa"/>
            <w:gridSpan w:val="8"/>
            <w:tcBorders>
              <w:bottom w:val="single" w:sz="4" w:space="0" w:color="auto"/>
            </w:tcBorders>
            <w:shd w:val="clear" w:color="auto" w:fill="D9E2F3" w:themeFill="accent1" w:themeFillTint="33"/>
          </w:tcPr>
          <w:p w:rsidR="009354C5" w:rsidRPr="00E9667E" w:rsidRDefault="009354C5" w:rsidP="009354C5">
            <w:pPr>
              <w:pStyle w:val="TableHeader"/>
            </w:pPr>
            <w:r>
              <w:t>Meeting minutes from 11/14/2025 approved without edits, reviewed 9/12/2025 approved with edits</w:t>
            </w:r>
          </w:p>
        </w:tc>
      </w:tr>
      <w:tr w:rsidR="009354C5" w:rsidRPr="00E9667E" w:rsidTr="00987130">
        <w:trPr>
          <w:cantSplit/>
          <w:trHeight w:val="256"/>
        </w:trPr>
        <w:tc>
          <w:tcPr>
            <w:tcW w:w="14400" w:type="dxa"/>
            <w:gridSpan w:val="8"/>
            <w:tcBorders>
              <w:bottom w:val="single" w:sz="4" w:space="0" w:color="auto"/>
            </w:tcBorders>
            <w:shd w:val="clear" w:color="auto" w:fill="D9E2F3" w:themeFill="accent1" w:themeFillTint="33"/>
          </w:tcPr>
          <w:p w:rsidR="009354C5" w:rsidRPr="00E9667E" w:rsidRDefault="009354C5" w:rsidP="009354C5">
            <w:pPr>
              <w:pStyle w:val="TableHeader"/>
            </w:pPr>
            <w:r w:rsidRPr="00E9667E">
              <w:t>Attendees</w:t>
            </w:r>
          </w:p>
        </w:tc>
      </w:tr>
      <w:tr w:rsidR="009354C5" w:rsidRPr="00E9667E" w:rsidTr="00987130">
        <w:trPr>
          <w:cantSplit/>
          <w:trHeight w:val="289"/>
        </w:trPr>
        <w:tc>
          <w:tcPr>
            <w:tcW w:w="450" w:type="dxa"/>
            <w:shd w:val="clear" w:color="auto" w:fill="FFFFFF"/>
          </w:tcPr>
          <w:p w:rsidR="009354C5" w:rsidRPr="00E9667E" w:rsidRDefault="009354C5" w:rsidP="009354C5"/>
        </w:tc>
        <w:tc>
          <w:tcPr>
            <w:tcW w:w="3780" w:type="dxa"/>
            <w:shd w:val="clear" w:color="auto" w:fill="FFFFFF"/>
            <w:vAlign w:val="center"/>
          </w:tcPr>
          <w:p w:rsidR="009354C5" w:rsidRPr="00E9667E" w:rsidRDefault="009354C5" w:rsidP="009354C5">
            <w:r>
              <w:t>Prof. Hope Goodwin (HG) – excused off term</w:t>
            </w:r>
          </w:p>
        </w:tc>
        <w:tc>
          <w:tcPr>
            <w:tcW w:w="450" w:type="dxa"/>
            <w:shd w:val="clear" w:color="auto" w:fill="FFFFFF"/>
          </w:tcPr>
          <w:p w:rsidR="009354C5" w:rsidRPr="005C4448" w:rsidRDefault="009354C5" w:rsidP="009354C5"/>
        </w:tc>
        <w:tc>
          <w:tcPr>
            <w:tcW w:w="2785" w:type="dxa"/>
            <w:shd w:val="clear" w:color="auto" w:fill="FFFFFF"/>
            <w:vAlign w:val="center"/>
          </w:tcPr>
          <w:p w:rsidR="009354C5" w:rsidRPr="005C4448" w:rsidRDefault="009354C5" w:rsidP="009354C5">
            <w:r>
              <w:t>Dr. Kathy Blades (KB) – excused off term</w:t>
            </w:r>
          </w:p>
        </w:tc>
        <w:tc>
          <w:tcPr>
            <w:tcW w:w="450" w:type="dxa"/>
            <w:shd w:val="clear" w:color="auto" w:fill="FFFFFF"/>
          </w:tcPr>
          <w:p w:rsidR="009354C5" w:rsidRPr="00E9667E" w:rsidRDefault="009354C5" w:rsidP="009354C5"/>
        </w:tc>
        <w:tc>
          <w:tcPr>
            <w:tcW w:w="2970" w:type="dxa"/>
            <w:vAlign w:val="center"/>
          </w:tcPr>
          <w:p w:rsidR="009354C5" w:rsidRPr="00E9667E" w:rsidRDefault="009354C5" w:rsidP="009354C5">
            <w:r>
              <w:t>Bobby Holbrook (BH), Prog. Director (PD)</w:t>
            </w:r>
          </w:p>
        </w:tc>
        <w:tc>
          <w:tcPr>
            <w:tcW w:w="450" w:type="dxa"/>
          </w:tcPr>
          <w:p w:rsidR="009354C5" w:rsidRPr="00E9667E" w:rsidRDefault="009354C5" w:rsidP="009354C5">
            <w:r>
              <w:t>x</w:t>
            </w:r>
          </w:p>
        </w:tc>
        <w:tc>
          <w:tcPr>
            <w:tcW w:w="3065" w:type="dxa"/>
            <w:vAlign w:val="center"/>
          </w:tcPr>
          <w:p w:rsidR="009354C5" w:rsidRPr="00E9667E" w:rsidRDefault="009354C5" w:rsidP="009354C5">
            <w:r>
              <w:t xml:space="preserve">BSN student </w:t>
            </w:r>
            <w:proofErr w:type="gramStart"/>
            <w:r>
              <w:t>guest  -</w:t>
            </w:r>
            <w:proofErr w:type="gramEnd"/>
            <w:r>
              <w:t xml:space="preserve"> no student guests today</w:t>
            </w:r>
          </w:p>
        </w:tc>
      </w:tr>
      <w:tr w:rsidR="009354C5" w:rsidRPr="00E9667E" w:rsidTr="00987130">
        <w:trPr>
          <w:cantSplit/>
          <w:trHeight w:val="289"/>
        </w:trPr>
        <w:tc>
          <w:tcPr>
            <w:tcW w:w="450" w:type="dxa"/>
            <w:shd w:val="clear" w:color="auto" w:fill="FFFFFF"/>
          </w:tcPr>
          <w:p w:rsidR="009354C5" w:rsidRPr="00E9667E" w:rsidRDefault="009354C5" w:rsidP="009354C5">
            <w:r>
              <w:t>X</w:t>
            </w:r>
          </w:p>
        </w:tc>
        <w:tc>
          <w:tcPr>
            <w:tcW w:w="3780" w:type="dxa"/>
            <w:shd w:val="clear" w:color="auto" w:fill="FFFFFF"/>
            <w:vAlign w:val="center"/>
          </w:tcPr>
          <w:p w:rsidR="009354C5" w:rsidRPr="00E9667E" w:rsidRDefault="009354C5" w:rsidP="009354C5">
            <w:r>
              <w:t>Prof. Shawn Steiner (SS)</w:t>
            </w:r>
          </w:p>
        </w:tc>
        <w:tc>
          <w:tcPr>
            <w:tcW w:w="450" w:type="dxa"/>
            <w:shd w:val="clear" w:color="auto" w:fill="FFFFFF"/>
          </w:tcPr>
          <w:p w:rsidR="009354C5" w:rsidRPr="005C4448" w:rsidRDefault="009354C5" w:rsidP="009354C5">
            <w:r>
              <w:t>x</w:t>
            </w:r>
          </w:p>
        </w:tc>
        <w:tc>
          <w:tcPr>
            <w:tcW w:w="2785" w:type="dxa"/>
            <w:shd w:val="clear" w:color="auto" w:fill="FFFFFF"/>
            <w:vAlign w:val="center"/>
          </w:tcPr>
          <w:p w:rsidR="009354C5" w:rsidRPr="005C4448" w:rsidRDefault="009354C5" w:rsidP="009354C5">
            <w:r>
              <w:t>Dr. Julianne Settanni (JS) (attending conference)</w:t>
            </w:r>
          </w:p>
        </w:tc>
        <w:tc>
          <w:tcPr>
            <w:tcW w:w="450" w:type="dxa"/>
            <w:shd w:val="clear" w:color="auto" w:fill="FFFFFF"/>
          </w:tcPr>
          <w:p w:rsidR="009354C5" w:rsidRPr="00E9667E" w:rsidRDefault="009354C5" w:rsidP="009354C5">
            <w:r>
              <w:t>x</w:t>
            </w:r>
          </w:p>
        </w:tc>
        <w:tc>
          <w:tcPr>
            <w:tcW w:w="2970" w:type="dxa"/>
            <w:vAlign w:val="center"/>
          </w:tcPr>
          <w:p w:rsidR="009354C5" w:rsidRPr="00E9667E" w:rsidRDefault="009354C5" w:rsidP="009354C5">
            <w:r>
              <w:t xml:space="preserve">Dr. Susan Holland, </w:t>
            </w:r>
            <w:r w:rsidRPr="002C5787">
              <w:rPr>
                <w:sz w:val="18"/>
                <w:szCs w:val="18"/>
              </w:rPr>
              <w:t>Dean (SH)</w:t>
            </w:r>
          </w:p>
        </w:tc>
        <w:tc>
          <w:tcPr>
            <w:tcW w:w="450" w:type="dxa"/>
          </w:tcPr>
          <w:p w:rsidR="009354C5" w:rsidRPr="00E9667E" w:rsidRDefault="009354C5" w:rsidP="009354C5">
            <w:r>
              <w:t>x</w:t>
            </w:r>
          </w:p>
        </w:tc>
        <w:tc>
          <w:tcPr>
            <w:tcW w:w="3065" w:type="dxa"/>
            <w:vAlign w:val="center"/>
          </w:tcPr>
          <w:p w:rsidR="009354C5" w:rsidRPr="00E9667E" w:rsidRDefault="009354C5" w:rsidP="009354C5"/>
        </w:tc>
      </w:tr>
      <w:tr w:rsidR="009354C5" w:rsidRPr="00E9667E" w:rsidTr="00987130">
        <w:trPr>
          <w:cantSplit/>
          <w:trHeight w:val="289"/>
        </w:trPr>
        <w:tc>
          <w:tcPr>
            <w:tcW w:w="450" w:type="dxa"/>
            <w:shd w:val="clear" w:color="auto" w:fill="FFFFFF"/>
          </w:tcPr>
          <w:p w:rsidR="009354C5" w:rsidRPr="00E9667E" w:rsidRDefault="009354C5" w:rsidP="009354C5">
            <w:r>
              <w:t>X</w:t>
            </w:r>
          </w:p>
        </w:tc>
        <w:tc>
          <w:tcPr>
            <w:tcW w:w="3780" w:type="dxa"/>
            <w:shd w:val="clear" w:color="auto" w:fill="FFFFFF"/>
            <w:vAlign w:val="center"/>
          </w:tcPr>
          <w:p w:rsidR="009354C5" w:rsidRPr="00E9667E" w:rsidRDefault="009354C5" w:rsidP="009354C5">
            <w:r>
              <w:t>Dr. Marsha Weiner – (MW)</w:t>
            </w:r>
          </w:p>
        </w:tc>
        <w:tc>
          <w:tcPr>
            <w:tcW w:w="450" w:type="dxa"/>
            <w:shd w:val="clear" w:color="auto" w:fill="FFFFFF"/>
          </w:tcPr>
          <w:p w:rsidR="009354C5" w:rsidRPr="005C4448" w:rsidRDefault="009354C5" w:rsidP="009354C5">
            <w:r>
              <w:t>x</w:t>
            </w:r>
          </w:p>
        </w:tc>
        <w:tc>
          <w:tcPr>
            <w:tcW w:w="2785" w:type="dxa"/>
            <w:shd w:val="clear" w:color="auto" w:fill="FFFFFF"/>
            <w:vAlign w:val="center"/>
          </w:tcPr>
          <w:p w:rsidR="009354C5" w:rsidRPr="005C4448" w:rsidRDefault="009354C5" w:rsidP="009354C5"/>
        </w:tc>
        <w:tc>
          <w:tcPr>
            <w:tcW w:w="450" w:type="dxa"/>
            <w:shd w:val="clear" w:color="auto" w:fill="FFFFFF"/>
          </w:tcPr>
          <w:p w:rsidR="009354C5" w:rsidRPr="00E9667E" w:rsidRDefault="009354C5" w:rsidP="009354C5"/>
        </w:tc>
        <w:tc>
          <w:tcPr>
            <w:tcW w:w="2970" w:type="dxa"/>
            <w:vAlign w:val="center"/>
          </w:tcPr>
          <w:p w:rsidR="009354C5" w:rsidRPr="00E9667E" w:rsidRDefault="009354C5" w:rsidP="009354C5"/>
        </w:tc>
        <w:tc>
          <w:tcPr>
            <w:tcW w:w="450" w:type="dxa"/>
          </w:tcPr>
          <w:p w:rsidR="009354C5" w:rsidRPr="00E9667E" w:rsidRDefault="009354C5" w:rsidP="009354C5"/>
        </w:tc>
        <w:tc>
          <w:tcPr>
            <w:tcW w:w="3065" w:type="dxa"/>
            <w:vAlign w:val="center"/>
          </w:tcPr>
          <w:p w:rsidR="009354C5" w:rsidRPr="00E9667E" w:rsidRDefault="009354C5" w:rsidP="009354C5"/>
        </w:tc>
      </w:tr>
      <w:tr w:rsidR="009354C5" w:rsidRPr="00E9667E" w:rsidTr="00987130">
        <w:trPr>
          <w:cantSplit/>
          <w:trHeight w:val="289"/>
        </w:trPr>
        <w:tc>
          <w:tcPr>
            <w:tcW w:w="450" w:type="dxa"/>
            <w:shd w:val="clear" w:color="auto" w:fill="FFFFFF"/>
          </w:tcPr>
          <w:p w:rsidR="009354C5" w:rsidRPr="00E9667E" w:rsidRDefault="009354C5" w:rsidP="009354C5">
            <w:r>
              <w:t>X</w:t>
            </w:r>
          </w:p>
        </w:tc>
        <w:tc>
          <w:tcPr>
            <w:tcW w:w="3780" w:type="dxa"/>
            <w:shd w:val="clear" w:color="auto" w:fill="FFFFFF"/>
            <w:vAlign w:val="center"/>
          </w:tcPr>
          <w:p w:rsidR="009354C5" w:rsidRPr="00E9667E" w:rsidRDefault="009354C5" w:rsidP="009354C5">
            <w:r>
              <w:t>Prof. Gayle Deane – (GD)</w:t>
            </w:r>
          </w:p>
        </w:tc>
        <w:tc>
          <w:tcPr>
            <w:tcW w:w="450" w:type="dxa"/>
            <w:shd w:val="clear" w:color="auto" w:fill="FFFFFF"/>
          </w:tcPr>
          <w:p w:rsidR="009354C5" w:rsidRPr="005C4448" w:rsidRDefault="009354C5" w:rsidP="009354C5">
            <w:r>
              <w:t>x</w:t>
            </w:r>
          </w:p>
        </w:tc>
        <w:tc>
          <w:tcPr>
            <w:tcW w:w="2785" w:type="dxa"/>
            <w:shd w:val="clear" w:color="auto" w:fill="FFFFFF"/>
            <w:vAlign w:val="center"/>
          </w:tcPr>
          <w:p w:rsidR="009354C5" w:rsidRPr="005C4448" w:rsidRDefault="009354C5" w:rsidP="009354C5">
            <w:r>
              <w:t xml:space="preserve">Cassie Jindra (CJ).   Advisor </w:t>
            </w:r>
          </w:p>
        </w:tc>
        <w:tc>
          <w:tcPr>
            <w:tcW w:w="450" w:type="dxa"/>
            <w:shd w:val="clear" w:color="auto" w:fill="FFFFFF"/>
          </w:tcPr>
          <w:p w:rsidR="009354C5" w:rsidRPr="00E9667E" w:rsidRDefault="009354C5" w:rsidP="009354C5">
            <w:r>
              <w:t>x</w:t>
            </w:r>
          </w:p>
        </w:tc>
        <w:tc>
          <w:tcPr>
            <w:tcW w:w="2970" w:type="dxa"/>
            <w:vAlign w:val="center"/>
          </w:tcPr>
          <w:p w:rsidR="009354C5" w:rsidRPr="00E9667E" w:rsidRDefault="009354C5" w:rsidP="009354C5"/>
        </w:tc>
        <w:tc>
          <w:tcPr>
            <w:tcW w:w="450" w:type="dxa"/>
          </w:tcPr>
          <w:p w:rsidR="009354C5" w:rsidRPr="00E9667E" w:rsidRDefault="009354C5" w:rsidP="009354C5"/>
        </w:tc>
        <w:tc>
          <w:tcPr>
            <w:tcW w:w="3065" w:type="dxa"/>
            <w:vAlign w:val="center"/>
          </w:tcPr>
          <w:p w:rsidR="009354C5" w:rsidRPr="00E9667E" w:rsidRDefault="009354C5" w:rsidP="009354C5"/>
        </w:tc>
      </w:tr>
    </w:tbl>
    <w:p w:rsidR="00987130" w:rsidRDefault="00987130" w:rsidP="00EF6E4E"/>
    <w:tbl>
      <w:tblPr>
        <w:tblStyle w:val="TableGrid"/>
        <w:tblW w:w="14220" w:type="dxa"/>
        <w:tblInd w:w="-545" w:type="dxa"/>
        <w:tblLook w:val="04A0" w:firstRow="1" w:lastRow="0" w:firstColumn="1" w:lastColumn="0" w:noHBand="0" w:noVBand="1"/>
      </w:tblPr>
      <w:tblGrid>
        <w:gridCol w:w="3113"/>
        <w:gridCol w:w="1898"/>
        <w:gridCol w:w="6542"/>
        <w:gridCol w:w="1076"/>
        <w:gridCol w:w="1591"/>
      </w:tblGrid>
      <w:tr w:rsidR="004A2DC1" w:rsidTr="0079204F">
        <w:tc>
          <w:tcPr>
            <w:tcW w:w="3113" w:type="dxa"/>
            <w:shd w:val="clear" w:color="auto" w:fill="DEEAF6" w:themeFill="accent5" w:themeFillTint="33"/>
            <w:vAlign w:val="center"/>
          </w:tcPr>
          <w:p w:rsidR="004A2DC1" w:rsidRPr="00E54490" w:rsidRDefault="004A2DC1" w:rsidP="004A2DC1">
            <w:pPr>
              <w:jc w:val="center"/>
              <w:rPr>
                <w:b/>
                <w:sz w:val="24"/>
                <w:szCs w:val="24"/>
              </w:rPr>
            </w:pPr>
            <w:r w:rsidRPr="00E54490">
              <w:rPr>
                <w:b/>
                <w:sz w:val="24"/>
                <w:szCs w:val="24"/>
              </w:rPr>
              <w:t>Agenda Item</w:t>
            </w:r>
          </w:p>
        </w:tc>
        <w:tc>
          <w:tcPr>
            <w:tcW w:w="1898" w:type="dxa"/>
            <w:shd w:val="clear" w:color="auto" w:fill="DEEAF6" w:themeFill="accent5" w:themeFillTint="33"/>
            <w:vAlign w:val="center"/>
          </w:tcPr>
          <w:p w:rsidR="004A2DC1" w:rsidRPr="00E54490" w:rsidRDefault="0093047E" w:rsidP="004A2DC1">
            <w:pPr>
              <w:jc w:val="center"/>
              <w:rPr>
                <w:b/>
                <w:sz w:val="24"/>
                <w:szCs w:val="24"/>
              </w:rPr>
            </w:pPr>
            <w:r>
              <w:rPr>
                <w:b/>
                <w:sz w:val="24"/>
                <w:szCs w:val="24"/>
              </w:rPr>
              <w:t>Presenter</w:t>
            </w:r>
          </w:p>
        </w:tc>
        <w:tc>
          <w:tcPr>
            <w:tcW w:w="6542" w:type="dxa"/>
            <w:shd w:val="clear" w:color="auto" w:fill="DEEAF6" w:themeFill="accent5" w:themeFillTint="33"/>
            <w:vAlign w:val="center"/>
          </w:tcPr>
          <w:p w:rsidR="004A2DC1" w:rsidRPr="00E54490" w:rsidRDefault="0093047E" w:rsidP="004A2DC1">
            <w:pPr>
              <w:jc w:val="center"/>
              <w:rPr>
                <w:b/>
                <w:sz w:val="24"/>
                <w:szCs w:val="24"/>
              </w:rPr>
            </w:pPr>
            <w:r>
              <w:rPr>
                <w:b/>
                <w:sz w:val="24"/>
                <w:szCs w:val="24"/>
              </w:rPr>
              <w:t>Discussion</w:t>
            </w:r>
          </w:p>
        </w:tc>
        <w:tc>
          <w:tcPr>
            <w:tcW w:w="1076" w:type="dxa"/>
            <w:shd w:val="clear" w:color="auto" w:fill="DEEAF6" w:themeFill="accent5" w:themeFillTint="33"/>
            <w:vAlign w:val="bottom"/>
          </w:tcPr>
          <w:p w:rsidR="004A2DC1" w:rsidRPr="00E54490" w:rsidRDefault="0093047E" w:rsidP="004A2DC1">
            <w:pPr>
              <w:jc w:val="center"/>
              <w:rPr>
                <w:b/>
                <w:sz w:val="24"/>
                <w:szCs w:val="24"/>
              </w:rPr>
            </w:pPr>
            <w:r>
              <w:rPr>
                <w:b/>
                <w:sz w:val="24"/>
                <w:szCs w:val="24"/>
              </w:rPr>
              <w:t>Action Due Date</w:t>
            </w:r>
          </w:p>
        </w:tc>
        <w:tc>
          <w:tcPr>
            <w:tcW w:w="1591" w:type="dxa"/>
            <w:shd w:val="clear" w:color="auto" w:fill="DEEAF6" w:themeFill="accent5" w:themeFillTint="33"/>
            <w:vAlign w:val="bottom"/>
          </w:tcPr>
          <w:p w:rsidR="004A2DC1" w:rsidRPr="00E54490" w:rsidRDefault="0093047E" w:rsidP="004A2DC1">
            <w:pPr>
              <w:jc w:val="center"/>
              <w:rPr>
                <w:b/>
                <w:sz w:val="24"/>
                <w:szCs w:val="24"/>
              </w:rPr>
            </w:pPr>
            <w:r>
              <w:rPr>
                <w:b/>
                <w:sz w:val="24"/>
                <w:szCs w:val="24"/>
              </w:rPr>
              <w:t>Responsible Party</w:t>
            </w:r>
          </w:p>
        </w:tc>
      </w:tr>
      <w:tr w:rsidR="00C20FA6" w:rsidTr="0079204F">
        <w:tc>
          <w:tcPr>
            <w:tcW w:w="3113" w:type="dxa"/>
          </w:tcPr>
          <w:p w:rsidR="00987130" w:rsidRDefault="00700E6C" w:rsidP="00EF6E4E">
            <w:r>
              <w:t xml:space="preserve">Call to order – </w:t>
            </w:r>
            <w:r w:rsidR="00987130">
              <w:t xml:space="preserve">  </w:t>
            </w:r>
            <w:r w:rsidR="009354C5">
              <w:t>0930</w:t>
            </w:r>
          </w:p>
          <w:p w:rsidR="00700E6C" w:rsidRDefault="00700E6C" w:rsidP="00EF6E4E"/>
          <w:p w:rsidR="00ED2EE7" w:rsidRDefault="00ED2EE7" w:rsidP="00EF6E4E"/>
        </w:tc>
        <w:tc>
          <w:tcPr>
            <w:tcW w:w="1898" w:type="dxa"/>
          </w:tcPr>
          <w:p w:rsidR="00C20FA6" w:rsidRDefault="0093047E" w:rsidP="00EF6E4E">
            <w:r>
              <w:t>BSN Faculty</w:t>
            </w:r>
          </w:p>
        </w:tc>
        <w:tc>
          <w:tcPr>
            <w:tcW w:w="6542" w:type="dxa"/>
          </w:tcPr>
          <w:p w:rsidR="0093047E" w:rsidRDefault="0093047E" w:rsidP="00EF6E4E"/>
          <w:p w:rsidR="0093047E" w:rsidRDefault="0093047E" w:rsidP="00EF6E4E"/>
          <w:p w:rsidR="0093047E" w:rsidRDefault="00987130" w:rsidP="00EF6E4E">
            <w:r>
              <w:t xml:space="preserve"> </w:t>
            </w:r>
          </w:p>
          <w:p w:rsidR="008D0B2C" w:rsidRDefault="008D0B2C" w:rsidP="00EF6E4E"/>
        </w:tc>
        <w:tc>
          <w:tcPr>
            <w:tcW w:w="1076" w:type="dxa"/>
          </w:tcPr>
          <w:p w:rsidR="00C20FA6" w:rsidRDefault="00C20FA6" w:rsidP="00EF6E4E"/>
        </w:tc>
        <w:tc>
          <w:tcPr>
            <w:tcW w:w="1591" w:type="dxa"/>
          </w:tcPr>
          <w:p w:rsidR="00C20FA6" w:rsidRDefault="00C20FA6" w:rsidP="00EF6E4E"/>
        </w:tc>
      </w:tr>
      <w:tr w:rsidR="008D5F8B" w:rsidTr="0079204F">
        <w:tc>
          <w:tcPr>
            <w:tcW w:w="3113" w:type="dxa"/>
            <w:shd w:val="clear" w:color="auto" w:fill="DEEAF6" w:themeFill="accent5" w:themeFillTint="33"/>
          </w:tcPr>
          <w:p w:rsidR="008D5F8B" w:rsidRPr="00D17B83" w:rsidRDefault="008D5F8B" w:rsidP="008D5F8B">
            <w:pPr>
              <w:jc w:val="center"/>
              <w:rPr>
                <w:b/>
              </w:rPr>
            </w:pPr>
            <w:r w:rsidRPr="00D17B83">
              <w:rPr>
                <w:b/>
              </w:rPr>
              <w:t>ACEN Standards</w:t>
            </w:r>
          </w:p>
        </w:tc>
        <w:tc>
          <w:tcPr>
            <w:tcW w:w="1898" w:type="dxa"/>
            <w:shd w:val="clear" w:color="auto" w:fill="DEEAF6" w:themeFill="accent5" w:themeFillTint="33"/>
          </w:tcPr>
          <w:p w:rsidR="008D5F8B" w:rsidRPr="00D17B83" w:rsidRDefault="008D5F8B" w:rsidP="008D5F8B">
            <w:pPr>
              <w:jc w:val="center"/>
              <w:rPr>
                <w:b/>
              </w:rPr>
            </w:pPr>
            <w:r w:rsidRPr="00D17B83">
              <w:rPr>
                <w:b/>
              </w:rPr>
              <w:t>Presenter</w:t>
            </w:r>
          </w:p>
        </w:tc>
        <w:tc>
          <w:tcPr>
            <w:tcW w:w="6542" w:type="dxa"/>
            <w:shd w:val="clear" w:color="auto" w:fill="DEEAF6" w:themeFill="accent5" w:themeFillTint="33"/>
          </w:tcPr>
          <w:p w:rsidR="008D5F8B" w:rsidRPr="00D17B83" w:rsidRDefault="008D5F8B" w:rsidP="008D5F8B">
            <w:pPr>
              <w:jc w:val="center"/>
              <w:rPr>
                <w:b/>
              </w:rPr>
            </w:pPr>
            <w:r w:rsidRPr="00D17B83">
              <w:rPr>
                <w:b/>
              </w:rPr>
              <w:t>Discussion</w:t>
            </w:r>
          </w:p>
        </w:tc>
        <w:tc>
          <w:tcPr>
            <w:tcW w:w="1076" w:type="dxa"/>
            <w:shd w:val="clear" w:color="auto" w:fill="DEEAF6" w:themeFill="accent5" w:themeFillTint="33"/>
          </w:tcPr>
          <w:p w:rsidR="008D5F8B" w:rsidRPr="00D17B83" w:rsidRDefault="008D5F8B" w:rsidP="008D5F8B">
            <w:pPr>
              <w:jc w:val="center"/>
              <w:rPr>
                <w:b/>
              </w:rPr>
            </w:pPr>
            <w:r w:rsidRPr="00D17B83">
              <w:rPr>
                <w:b/>
              </w:rPr>
              <w:t>Action Due Date</w:t>
            </w:r>
          </w:p>
        </w:tc>
        <w:tc>
          <w:tcPr>
            <w:tcW w:w="1591" w:type="dxa"/>
            <w:shd w:val="clear" w:color="auto" w:fill="DEEAF6" w:themeFill="accent5" w:themeFillTint="33"/>
          </w:tcPr>
          <w:p w:rsidR="008D5F8B" w:rsidRPr="00D17B83" w:rsidRDefault="008D5F8B" w:rsidP="008D5F8B">
            <w:pPr>
              <w:jc w:val="center"/>
              <w:rPr>
                <w:b/>
              </w:rPr>
            </w:pPr>
            <w:r w:rsidRPr="00D17B83">
              <w:rPr>
                <w:b/>
              </w:rPr>
              <w:t>Responsible Party</w:t>
            </w:r>
          </w:p>
        </w:tc>
      </w:tr>
      <w:tr w:rsidR="008D5F8B" w:rsidTr="0079204F">
        <w:tc>
          <w:tcPr>
            <w:tcW w:w="3113" w:type="dxa"/>
            <w:shd w:val="clear" w:color="auto" w:fill="auto"/>
          </w:tcPr>
          <w:p w:rsidR="008D5F8B" w:rsidRPr="00987130" w:rsidRDefault="008D5F8B" w:rsidP="00987130">
            <w:pPr>
              <w:rPr>
                <w:rFonts w:ascii="Times New Roman" w:hAnsi="Times New Roman"/>
                <w:b/>
                <w:sz w:val="23"/>
                <w:szCs w:val="23"/>
              </w:rPr>
            </w:pPr>
            <w:r w:rsidRPr="00987130">
              <w:rPr>
                <w:rFonts w:ascii="Times New Roman" w:hAnsi="Times New Roman"/>
                <w:b/>
                <w:sz w:val="23"/>
                <w:szCs w:val="23"/>
              </w:rPr>
              <w:t xml:space="preserve">Standard 5: </w:t>
            </w:r>
            <w:r w:rsidR="007A339F" w:rsidRPr="00987130">
              <w:rPr>
                <w:rFonts w:ascii="Times New Roman" w:hAnsi="Times New Roman"/>
                <w:b/>
                <w:sz w:val="23"/>
                <w:szCs w:val="23"/>
              </w:rPr>
              <w:t>Outcomes</w:t>
            </w:r>
          </w:p>
          <w:p w:rsidR="008D5F8B" w:rsidRDefault="008D5F8B" w:rsidP="008D5F8B">
            <w:pPr>
              <w:pStyle w:val="ListParagraph"/>
              <w:spacing w:after="0"/>
              <w:ind w:left="360"/>
              <w:rPr>
                <w:rFonts w:ascii="Times New Roman" w:hAnsi="Times New Roman"/>
                <w:b/>
                <w:sz w:val="23"/>
                <w:szCs w:val="23"/>
              </w:rPr>
            </w:pPr>
            <w:r>
              <w:rPr>
                <w:rFonts w:ascii="Times New Roman" w:hAnsi="Times New Roman"/>
                <w:b/>
                <w:sz w:val="23"/>
                <w:szCs w:val="23"/>
              </w:rPr>
              <w:t xml:space="preserve">A.  </w:t>
            </w:r>
            <w:r w:rsidR="00987130">
              <w:rPr>
                <w:rFonts w:ascii="Times New Roman" w:hAnsi="Times New Roman"/>
                <w:b/>
                <w:sz w:val="23"/>
                <w:szCs w:val="23"/>
              </w:rPr>
              <w:t>Response to ACEN site-visit report - BSN</w:t>
            </w:r>
          </w:p>
          <w:p w:rsidR="008D5F8B" w:rsidRPr="00D17B83" w:rsidRDefault="008D5F8B" w:rsidP="007A339F">
            <w:pPr>
              <w:ind w:left="360"/>
              <w:rPr>
                <w:b/>
              </w:rPr>
            </w:pPr>
          </w:p>
        </w:tc>
        <w:tc>
          <w:tcPr>
            <w:tcW w:w="1898" w:type="dxa"/>
            <w:shd w:val="clear" w:color="auto" w:fill="auto"/>
          </w:tcPr>
          <w:p w:rsidR="008D5F8B" w:rsidRDefault="008D5F8B" w:rsidP="007A339F">
            <w:pPr>
              <w:rPr>
                <w:b/>
              </w:rPr>
            </w:pPr>
          </w:p>
          <w:p w:rsidR="007A339F" w:rsidRPr="007A339F" w:rsidRDefault="00987130" w:rsidP="007A339F">
            <w:pPr>
              <w:pStyle w:val="ListParagraph"/>
              <w:numPr>
                <w:ilvl w:val="0"/>
                <w:numId w:val="26"/>
              </w:numPr>
              <w:spacing w:after="0" w:line="240" w:lineRule="auto"/>
              <w:rPr>
                <w:b/>
              </w:rPr>
            </w:pPr>
            <w:r>
              <w:rPr>
                <w:b/>
              </w:rPr>
              <w:t>B Holbrook / Marsha Weiner, Program Chair</w:t>
            </w:r>
          </w:p>
        </w:tc>
        <w:tc>
          <w:tcPr>
            <w:tcW w:w="6542" w:type="dxa"/>
            <w:shd w:val="clear" w:color="auto" w:fill="auto"/>
          </w:tcPr>
          <w:p w:rsidR="008D5F8B" w:rsidRDefault="008D5F8B" w:rsidP="007A339F">
            <w:pPr>
              <w:rPr>
                <w:b/>
              </w:rPr>
            </w:pPr>
          </w:p>
          <w:p w:rsidR="00987130" w:rsidRDefault="00987130" w:rsidP="00987130">
            <w:pPr>
              <w:pStyle w:val="ListParagraph"/>
              <w:numPr>
                <w:ilvl w:val="0"/>
                <w:numId w:val="30"/>
              </w:numPr>
              <w:spacing w:after="0" w:line="240" w:lineRule="auto"/>
            </w:pPr>
            <w:r w:rsidRPr="00DB65B6">
              <w:t>This meeting served as a working session to complete the BSN Program’s formal written response to the accrediting body (ACEN) following the recent site visit findings related to Standard 5: Outcomes.</w:t>
            </w:r>
          </w:p>
          <w:p w:rsidR="00987130" w:rsidRDefault="00987130" w:rsidP="00987130"/>
          <w:p w:rsidR="00C326EF" w:rsidRDefault="00C326EF" w:rsidP="00987130"/>
          <w:p w:rsidR="00C326EF" w:rsidRPr="005A2EB6" w:rsidRDefault="00C326EF" w:rsidP="00C326EF">
            <w:pPr>
              <w:ind w:left="360"/>
              <w:rPr>
                <w:rFonts w:cstheme="minorHAnsi"/>
              </w:rPr>
            </w:pPr>
          </w:p>
          <w:p w:rsidR="00C326EF" w:rsidRPr="005A2EB6" w:rsidRDefault="00C326EF" w:rsidP="00C326EF">
            <w:pPr>
              <w:pStyle w:val="Heading2"/>
              <w:numPr>
                <w:ilvl w:val="0"/>
                <w:numId w:val="30"/>
              </w:numPr>
              <w:outlineLvl w:val="1"/>
              <w:rPr>
                <w:rFonts w:asciiTheme="minorHAnsi" w:hAnsiTheme="minorHAnsi" w:cstheme="minorHAnsi"/>
                <w:color w:val="auto"/>
                <w:sz w:val="22"/>
                <w:szCs w:val="22"/>
              </w:rPr>
            </w:pPr>
            <w:r w:rsidRPr="005A2EB6">
              <w:rPr>
                <w:rFonts w:asciiTheme="minorHAnsi" w:hAnsiTheme="minorHAnsi" w:cstheme="minorHAnsi"/>
                <w:color w:val="auto"/>
                <w:sz w:val="22"/>
                <w:szCs w:val="22"/>
              </w:rPr>
              <w:t>ACEN Standard 5: Outcomes</w:t>
            </w:r>
          </w:p>
          <w:p w:rsidR="00C326EF" w:rsidRPr="005A2EB6" w:rsidRDefault="00C326EF" w:rsidP="00C326EF">
            <w:pPr>
              <w:ind w:left="360"/>
              <w:rPr>
                <w:rFonts w:cstheme="minorHAnsi"/>
              </w:rPr>
            </w:pPr>
            <w:r w:rsidRPr="005A2EB6">
              <w:rPr>
                <w:rFonts w:cstheme="minorHAnsi"/>
              </w:rPr>
              <w:t>Committee updated and verified Standard 5 response materials, timelines, and evidence. All major accreditation tasks for Standard 5 were completed.</w:t>
            </w:r>
          </w:p>
          <w:p w:rsidR="00C326EF" w:rsidRPr="005A2EB6" w:rsidRDefault="00C326EF" w:rsidP="00C326EF">
            <w:pPr>
              <w:rPr>
                <w:rFonts w:cstheme="minorHAnsi"/>
              </w:rPr>
            </w:pPr>
          </w:p>
          <w:p w:rsidR="00C326EF" w:rsidRPr="005A2EB6" w:rsidRDefault="00C326EF" w:rsidP="00C326EF">
            <w:pPr>
              <w:pStyle w:val="Heading2"/>
              <w:numPr>
                <w:ilvl w:val="0"/>
                <w:numId w:val="30"/>
              </w:numPr>
              <w:outlineLvl w:val="1"/>
              <w:rPr>
                <w:rFonts w:asciiTheme="minorHAnsi" w:hAnsiTheme="minorHAnsi" w:cstheme="minorHAnsi"/>
                <w:color w:val="auto"/>
                <w:sz w:val="22"/>
                <w:szCs w:val="22"/>
              </w:rPr>
            </w:pPr>
            <w:r w:rsidRPr="005A2EB6">
              <w:rPr>
                <w:rFonts w:asciiTheme="minorHAnsi" w:hAnsiTheme="minorHAnsi" w:cstheme="minorHAnsi"/>
                <w:color w:val="auto"/>
                <w:sz w:val="22"/>
                <w:szCs w:val="22"/>
              </w:rPr>
              <w:lastRenderedPageBreak/>
              <w:t>Announcements</w:t>
            </w:r>
          </w:p>
          <w:p w:rsidR="00C326EF" w:rsidRPr="005A2EB6" w:rsidRDefault="00C326EF" w:rsidP="00C326EF">
            <w:pPr>
              <w:ind w:left="360"/>
              <w:rPr>
                <w:rFonts w:cstheme="minorHAnsi"/>
              </w:rPr>
            </w:pPr>
            <w:r w:rsidRPr="005A2EB6">
              <w:rPr>
                <w:rFonts w:cstheme="minorHAnsi"/>
              </w:rPr>
              <w:t>This workshop concludes BSN Standard 5 accreditation work. Final packet will be sent to Dean Holland for review.</w:t>
            </w:r>
          </w:p>
          <w:p w:rsidR="00C326EF" w:rsidRPr="005A2EB6" w:rsidRDefault="00C326EF" w:rsidP="00C326EF">
            <w:pPr>
              <w:ind w:left="360"/>
              <w:rPr>
                <w:rFonts w:cstheme="minorHAnsi"/>
              </w:rPr>
            </w:pPr>
          </w:p>
          <w:p w:rsidR="00C326EF" w:rsidRPr="005A2EB6" w:rsidRDefault="00C326EF" w:rsidP="00C326EF">
            <w:pPr>
              <w:pStyle w:val="ListParagraph"/>
              <w:numPr>
                <w:ilvl w:val="0"/>
                <w:numId w:val="30"/>
              </w:numPr>
              <w:spacing w:after="0" w:line="240" w:lineRule="auto"/>
              <w:rPr>
                <w:rFonts w:asciiTheme="minorHAnsi" w:hAnsiTheme="minorHAnsi" w:cstheme="minorHAnsi"/>
              </w:rPr>
            </w:pPr>
            <w:r w:rsidRPr="005A2EB6">
              <w:rPr>
                <w:rFonts w:asciiTheme="minorHAnsi" w:hAnsiTheme="minorHAnsi" w:cstheme="minorHAnsi"/>
              </w:rPr>
              <w:t xml:space="preserve">Faculty Review ACEN SVR for 5.1 Faculty added further information to SPE 2022 – 2024 and 2024-2025. Updated SPE to retroactive second assignment measuring EPSLO. Dr. </w:t>
            </w:r>
            <w:r w:rsidR="003D30A8" w:rsidRPr="005A2EB6">
              <w:rPr>
                <w:rFonts w:asciiTheme="minorHAnsi" w:hAnsiTheme="minorHAnsi" w:cstheme="minorHAnsi"/>
              </w:rPr>
              <w:t>Settanni</w:t>
            </w:r>
            <w:r w:rsidRPr="005A2EB6">
              <w:rPr>
                <w:rFonts w:asciiTheme="minorHAnsi" w:hAnsiTheme="minorHAnsi" w:cstheme="minorHAnsi"/>
              </w:rPr>
              <w:t xml:space="preserve"> has previously completed updated SPE – faculty are to support changes by adding meeting note comments to SPE under action with meeting note dates. </w:t>
            </w:r>
            <w:r w:rsidR="008A7446" w:rsidRPr="005A2EB6">
              <w:rPr>
                <w:rFonts w:asciiTheme="minorHAnsi" w:hAnsiTheme="minorHAnsi" w:cstheme="minorHAnsi"/>
              </w:rPr>
              <w:t>MW, GD, SS,</w:t>
            </w:r>
            <w:r w:rsidR="009354C5">
              <w:rPr>
                <w:rFonts w:asciiTheme="minorHAnsi" w:hAnsiTheme="minorHAnsi" w:cstheme="minorHAnsi"/>
              </w:rPr>
              <w:t xml:space="preserve"> JS,</w:t>
            </w:r>
            <w:r w:rsidR="008A7446" w:rsidRPr="005A2EB6">
              <w:rPr>
                <w:rFonts w:asciiTheme="minorHAnsi" w:hAnsiTheme="minorHAnsi" w:cstheme="minorHAnsi"/>
              </w:rPr>
              <w:t xml:space="preserve"> </w:t>
            </w:r>
            <w:proofErr w:type="gramStart"/>
            <w:r w:rsidR="008A7446" w:rsidRPr="005A2EB6">
              <w:rPr>
                <w:rFonts w:asciiTheme="minorHAnsi" w:hAnsiTheme="minorHAnsi" w:cstheme="minorHAnsi"/>
              </w:rPr>
              <w:t xml:space="preserve">BH </w:t>
            </w:r>
            <w:r w:rsidR="009354C5">
              <w:rPr>
                <w:rFonts w:asciiTheme="minorHAnsi" w:hAnsiTheme="minorHAnsi" w:cstheme="minorHAnsi"/>
              </w:rPr>
              <w:t xml:space="preserve"> &amp;</w:t>
            </w:r>
            <w:proofErr w:type="gramEnd"/>
            <w:r w:rsidR="009354C5">
              <w:rPr>
                <w:rFonts w:asciiTheme="minorHAnsi" w:hAnsiTheme="minorHAnsi" w:cstheme="minorHAnsi"/>
              </w:rPr>
              <w:t xml:space="preserve"> SH </w:t>
            </w:r>
            <w:r w:rsidR="008A7446" w:rsidRPr="005A2EB6">
              <w:rPr>
                <w:rFonts w:asciiTheme="minorHAnsi" w:hAnsiTheme="minorHAnsi" w:cstheme="minorHAnsi"/>
              </w:rPr>
              <w:t>completed.</w:t>
            </w:r>
          </w:p>
          <w:p w:rsidR="008A7446" w:rsidRPr="005A2EB6" w:rsidRDefault="008A7446" w:rsidP="008A7446">
            <w:pPr>
              <w:rPr>
                <w:rFonts w:cstheme="minorHAnsi"/>
              </w:rPr>
            </w:pPr>
          </w:p>
          <w:p w:rsidR="00FA2D62" w:rsidRPr="005A2EB6" w:rsidRDefault="009354C5" w:rsidP="008A7446">
            <w:pPr>
              <w:pStyle w:val="ListParagraph"/>
              <w:numPr>
                <w:ilvl w:val="0"/>
                <w:numId w:val="30"/>
              </w:numPr>
              <w:spacing w:after="0" w:line="240" w:lineRule="auto"/>
              <w:rPr>
                <w:rFonts w:asciiTheme="minorHAnsi" w:hAnsiTheme="minorHAnsi" w:cstheme="minorHAnsi"/>
              </w:rPr>
            </w:pPr>
            <w:r>
              <w:rPr>
                <w:rFonts w:asciiTheme="minorHAnsi" w:hAnsiTheme="minorHAnsi" w:cstheme="minorHAnsi"/>
              </w:rPr>
              <w:t>Faculty worked</w:t>
            </w:r>
            <w:r w:rsidR="008A7446" w:rsidRPr="005A2EB6">
              <w:rPr>
                <w:rFonts w:asciiTheme="minorHAnsi" w:hAnsiTheme="minorHAnsi" w:cstheme="minorHAnsi"/>
              </w:rPr>
              <w:t xml:space="preserve"> on </w:t>
            </w:r>
            <w:r>
              <w:rPr>
                <w:rFonts w:asciiTheme="minorHAnsi" w:hAnsiTheme="minorHAnsi" w:cstheme="minorHAnsi"/>
              </w:rPr>
              <w:t xml:space="preserve">the </w:t>
            </w:r>
            <w:r w:rsidR="008A7446" w:rsidRPr="005A2EB6">
              <w:rPr>
                <w:rFonts w:asciiTheme="minorHAnsi" w:hAnsiTheme="minorHAnsi" w:cstheme="minorHAnsi"/>
              </w:rPr>
              <w:t xml:space="preserve">narrative to Standard 5.2. During the meeting, GD, SS, MW, </w:t>
            </w:r>
            <w:r>
              <w:rPr>
                <w:rFonts w:asciiTheme="minorHAnsi" w:hAnsiTheme="minorHAnsi" w:cstheme="minorHAnsi"/>
              </w:rPr>
              <w:t xml:space="preserve">JS, SH, </w:t>
            </w:r>
            <w:r w:rsidR="008A7446" w:rsidRPr="005A2EB6">
              <w:rPr>
                <w:rFonts w:asciiTheme="minorHAnsi" w:hAnsiTheme="minorHAnsi" w:cstheme="minorHAnsi"/>
              </w:rPr>
              <w:t xml:space="preserve">and BH updated and reviewed SVR and SEP updates. Reviewed BSN meeting notes 2021 up to the current date. </w:t>
            </w:r>
            <w:r>
              <w:rPr>
                <w:rFonts w:asciiTheme="minorHAnsi" w:hAnsiTheme="minorHAnsi" w:cstheme="minorHAnsi"/>
              </w:rPr>
              <w:t>Provided supporting documents to Dr. Holland for the ACEN Repository for BSN SVR.</w:t>
            </w:r>
          </w:p>
          <w:p w:rsidR="00FA2D62" w:rsidRPr="005A2EB6" w:rsidRDefault="00FA2D62" w:rsidP="00FA2D62">
            <w:pPr>
              <w:pStyle w:val="ListParagraph"/>
              <w:rPr>
                <w:rFonts w:asciiTheme="minorHAnsi" w:hAnsiTheme="minorHAnsi" w:cstheme="minorHAnsi"/>
              </w:rPr>
            </w:pPr>
          </w:p>
          <w:p w:rsidR="008A7446" w:rsidRDefault="00FA2D62" w:rsidP="003D30A8">
            <w:pPr>
              <w:pStyle w:val="ListParagraph"/>
              <w:numPr>
                <w:ilvl w:val="0"/>
                <w:numId w:val="30"/>
              </w:numPr>
              <w:spacing w:after="0" w:line="240" w:lineRule="auto"/>
            </w:pPr>
            <w:r>
              <w:t>Based</w:t>
            </w:r>
            <w:r w:rsidR="008A7446">
              <w:t xml:space="preserve"> on </w:t>
            </w:r>
            <w:r>
              <w:t>the program's</w:t>
            </w:r>
            <w:r w:rsidR="008A7446">
              <w:t xml:space="preserve"> on-time, 150%, and ultimate completion rates</w:t>
            </w:r>
            <w:r>
              <w:t>, the faculty had made a decision on 12-09-2022,</w:t>
            </w:r>
            <w:r w:rsidR="00410460">
              <w:t xml:space="preserve"> </w:t>
            </w:r>
            <w:r w:rsidR="008A7446">
              <w:t xml:space="preserve">due to program admission criteria allowing </w:t>
            </w:r>
            <w:r>
              <w:t>students</w:t>
            </w:r>
            <w:r w:rsidR="008A7446">
              <w:t xml:space="preserve"> to be admitted without completion of gen ed and </w:t>
            </w:r>
            <w:r>
              <w:t>program-specific</w:t>
            </w:r>
            <w:r w:rsidR="008A7446">
              <w:t xml:space="preserve"> </w:t>
            </w:r>
            <w:r>
              <w:t>requirements, to keep 4 terms as the on-time completion rates for student admitted who only have core BSN nursing courses to complete, and 6 terms for students who had additionally needed to take gen ed or program specific required courses. Defined as 100% of students entering the BSN Program will be calculated for completion rates from the first course nursing course (NUR 3805), after the college ‘drop and add period has ended</w:t>
            </w:r>
            <w:r w:rsidR="00410460">
              <w:t>,</w:t>
            </w:r>
            <w:r>
              <w:t xml:space="preserve"> and students can no</w:t>
            </w:r>
            <w:r w:rsidR="00FB6868">
              <w:t xml:space="preserve"> </w:t>
            </w:r>
            <w:r>
              <w:t>longer expect a refund for paid tuition, until the last required BSN course is completed</w:t>
            </w:r>
            <w:r w:rsidR="00410460">
              <w:t>,</w:t>
            </w:r>
            <w:r>
              <w:t xml:space="preserve"> </w:t>
            </w:r>
            <w:r w:rsidR="00410460">
              <w:t>which</w:t>
            </w:r>
            <w:r>
              <w:t xml:space="preserve"> is required for BSN degree conferment. </w:t>
            </w:r>
            <w:r w:rsidR="00410460">
              <w:t xml:space="preserve">Sixty % of students who require any </w:t>
            </w:r>
            <w:r w:rsidR="00410460">
              <w:lastRenderedPageBreak/>
              <w:t>general education courses will complete the program in four</w:t>
            </w:r>
            <w:r>
              <w:t xml:space="preserve"> terms for on-time completion. </w:t>
            </w:r>
            <w:r w:rsidR="00410460">
              <w:t xml:space="preserve">On-time completion will be defined as students who complete the program within 6 terms, including those who need general education and nursing courses to earn a BSN degree. However, faculty did not implement this definition when calculating the completion rates. But only calculated on-time rate using 4 terms. </w:t>
            </w:r>
          </w:p>
          <w:p w:rsidR="008A7446" w:rsidRDefault="008A7446" w:rsidP="008A7446">
            <w:pPr>
              <w:pStyle w:val="ListParagraph"/>
            </w:pPr>
          </w:p>
          <w:p w:rsidR="00C326EF" w:rsidRDefault="00410460" w:rsidP="003D30A8">
            <w:pPr>
              <w:pStyle w:val="ListParagraph"/>
              <w:numPr>
                <w:ilvl w:val="0"/>
                <w:numId w:val="30"/>
              </w:numPr>
              <w:spacing w:after="0" w:line="240" w:lineRule="auto"/>
            </w:pPr>
            <w:r>
              <w:t>In Fall 2024</w:t>
            </w:r>
            <w:r w:rsidR="003D30A8">
              <w:t>, the Faculty voted to change the on-time completion definitions as students who enter the BSN Program and are enrolled in the first nursing course (NUR 3805) after the “drop and add period’ who complete all courses in the time frame listed on their personalized advising plans would be considered on-time</w:t>
            </w:r>
            <w:r>
              <w:t xml:space="preserve"> completion. </w:t>
            </w:r>
            <w:r w:rsidRPr="00DB4B82">
              <w:rPr>
                <w:u w:val="single"/>
              </w:rPr>
              <w:t xml:space="preserve">After discussing the difficulty in measuring each individual student according to their advising plan, faculty voted to accept the definition of on-time completion would be six terms and setting the ELA as Sixty percent of BSN students, who are enrolled in NUR 3805 after the end of ‘FSW drop and add period’ </w:t>
            </w:r>
            <w:r w:rsidR="00DB4B82" w:rsidRPr="00DB4B82">
              <w:rPr>
                <w:u w:val="single"/>
              </w:rPr>
              <w:t xml:space="preserve">until the last requirement for BSN degree conferment is successfully </w:t>
            </w:r>
            <w:r w:rsidRPr="00DB4B82">
              <w:rPr>
                <w:u w:val="single"/>
              </w:rPr>
              <w:t>complet</w:t>
            </w:r>
            <w:r w:rsidR="00DB4B82" w:rsidRPr="00DB4B82">
              <w:rPr>
                <w:u w:val="single"/>
              </w:rPr>
              <w:t>ed will have graduation on-time</w:t>
            </w:r>
            <w:r w:rsidR="00DB4B82">
              <w:t xml:space="preserve">. </w:t>
            </w:r>
          </w:p>
          <w:p w:rsidR="00C326EF" w:rsidRPr="00DB65B6" w:rsidRDefault="00C326EF" w:rsidP="00C326EF">
            <w:pPr>
              <w:ind w:left="360"/>
            </w:pPr>
          </w:p>
          <w:p w:rsidR="00DA099A" w:rsidRPr="00EC3B3E" w:rsidRDefault="00C326EF" w:rsidP="00FB6868">
            <w:pPr>
              <w:pStyle w:val="Heading2"/>
              <w:numPr>
                <w:ilvl w:val="0"/>
                <w:numId w:val="30"/>
              </w:numPr>
              <w:outlineLvl w:val="1"/>
              <w:rPr>
                <w:rFonts w:ascii="Times New Roman" w:eastAsia="Times New Roman" w:hAnsi="Times New Roman" w:cs="Times New Roman"/>
              </w:rPr>
            </w:pPr>
            <w:r w:rsidRPr="00DB65B6">
              <w:rPr>
                <w:color w:val="auto"/>
              </w:rPr>
              <w:t xml:space="preserve">Action Items </w:t>
            </w:r>
            <w:r w:rsidR="00DA099A" w:rsidRPr="00EC3B3E">
              <w:rPr>
                <w:rFonts w:ascii="Times New Roman" w:eastAsia="Times New Roman" w:hAnsi="Times New Roman" w:cs="Times New Roman"/>
              </w:rPr>
              <w:t>Expected Level of Achievement (ELA)</w:t>
            </w:r>
            <w:r w:rsidR="00DA099A" w:rsidRPr="00EC3B3E">
              <w:rPr>
                <w:rFonts w:ascii="Times New Roman" w:eastAsia="Times New Roman" w:hAnsi="Times New Roman" w:cs="Times New Roman"/>
              </w:rPr>
              <w:br/>
              <w:t>At least ninety percent of graduates will report employment as registered nurses at the time of the six-to-nine-month post-graduation survey.</w:t>
            </w:r>
          </w:p>
          <w:p w:rsidR="00DA099A" w:rsidRPr="00EC3B3E" w:rsidRDefault="00DA099A" w:rsidP="00DA099A">
            <w:pPr>
              <w:spacing w:before="100" w:beforeAutospacing="1" w:after="100" w:afterAutospacing="1"/>
              <w:rPr>
                <w:rFonts w:ascii="Times New Roman" w:eastAsia="Times New Roman" w:hAnsi="Times New Roman" w:cs="Times New Roman"/>
              </w:rPr>
            </w:pPr>
            <w:r w:rsidRPr="00EC3B3E">
              <w:rPr>
                <w:rFonts w:ascii="Times New Roman" w:eastAsia="Times New Roman" w:hAnsi="Times New Roman" w:cs="Times New Roman"/>
                <w:b/>
                <w:bCs/>
              </w:rPr>
              <w:t>Rationale</w:t>
            </w:r>
            <w:r w:rsidRPr="00EC3B3E">
              <w:rPr>
                <w:rFonts w:ascii="Times New Roman" w:eastAsia="Times New Roman" w:hAnsi="Times New Roman" w:cs="Times New Roman"/>
              </w:rPr>
              <w:br/>
              <w:t xml:space="preserve">The BSN program at Florida SouthWestern State College is a post-licensure </w:t>
            </w:r>
            <w:r>
              <w:rPr>
                <w:rFonts w:ascii="Times New Roman" w:eastAsia="Times New Roman" w:hAnsi="Times New Roman" w:cs="Times New Roman"/>
              </w:rPr>
              <w:t>RN-to-BSN</w:t>
            </w:r>
            <w:r w:rsidRPr="00EC3B3E">
              <w:rPr>
                <w:rFonts w:ascii="Times New Roman" w:eastAsia="Times New Roman" w:hAnsi="Times New Roman" w:cs="Times New Roman"/>
              </w:rPr>
              <w:t xml:space="preserve"> program for practicing registered nurses. Most students enter </w:t>
            </w:r>
            <w:r>
              <w:rPr>
                <w:rFonts w:ascii="Times New Roman" w:eastAsia="Times New Roman" w:hAnsi="Times New Roman" w:cs="Times New Roman"/>
              </w:rPr>
              <w:t xml:space="preserve">nursing positions already employed, and those who are </w:t>
            </w:r>
            <w:r>
              <w:rPr>
                <w:rFonts w:ascii="Times New Roman" w:eastAsia="Times New Roman" w:hAnsi="Times New Roman" w:cs="Times New Roman"/>
              </w:rPr>
              <w:lastRenderedPageBreak/>
              <w:t xml:space="preserve">not employed after graduation are typically unemployed by personal choice rather than due to </w:t>
            </w:r>
            <w:r w:rsidRPr="00EC3B3E">
              <w:rPr>
                <w:rFonts w:ascii="Times New Roman" w:eastAsia="Times New Roman" w:hAnsi="Times New Roman" w:cs="Times New Roman"/>
              </w:rPr>
              <w:t>limited job availability. The BSN degree supports professional and academic advancement. The regional job market continues to offer strong opportunities for RN employment.</w:t>
            </w:r>
          </w:p>
          <w:p w:rsidR="00DA099A" w:rsidRPr="00EC3B3E" w:rsidRDefault="00DA099A" w:rsidP="00DA099A">
            <w:pPr>
              <w:spacing w:before="100" w:beforeAutospacing="1" w:after="100" w:afterAutospacing="1"/>
              <w:rPr>
                <w:rFonts w:ascii="Times New Roman" w:eastAsia="Times New Roman" w:hAnsi="Times New Roman" w:cs="Times New Roman"/>
              </w:rPr>
            </w:pPr>
            <w:r w:rsidRPr="00EC3B3E">
              <w:rPr>
                <w:rFonts w:ascii="Times New Roman" w:eastAsia="Times New Roman" w:hAnsi="Times New Roman" w:cs="Times New Roman"/>
                <w:b/>
                <w:bCs/>
              </w:rPr>
              <w:t>Data Collection Process</w:t>
            </w:r>
            <w:r w:rsidRPr="00EC3B3E">
              <w:rPr>
                <w:rFonts w:ascii="Times New Roman" w:eastAsia="Times New Roman" w:hAnsi="Times New Roman" w:cs="Times New Roman"/>
              </w:rPr>
              <w:br/>
              <w:t>Employment data are collected through six- and nine-month post-graduation surveys and verified by the Office of Institutional Effectiveness. Results are reviewed annually by faculty to evaluate trends and guide program improvement in alignment with ACEN Standard 5.4.</w:t>
            </w:r>
          </w:p>
          <w:p w:rsidR="00DA099A" w:rsidRPr="00EC3B3E" w:rsidRDefault="00DA099A" w:rsidP="00DA099A">
            <w:pPr>
              <w:spacing w:before="100" w:beforeAutospacing="1" w:after="100" w:afterAutospacing="1"/>
              <w:rPr>
                <w:rFonts w:ascii="Times New Roman" w:eastAsia="Times New Roman" w:hAnsi="Times New Roman" w:cs="Times New Roman"/>
              </w:rPr>
            </w:pPr>
            <w:r w:rsidRPr="00EC3B3E">
              <w:rPr>
                <w:rFonts w:ascii="Times New Roman" w:eastAsia="Times New Roman" w:hAnsi="Times New Roman" w:cs="Times New Roman"/>
                <w:b/>
                <w:bCs/>
              </w:rPr>
              <w:t>Staged Survey Distribution to Improve Response Rates</w:t>
            </w:r>
            <w:r w:rsidRPr="00EC3B3E">
              <w:rPr>
                <w:rFonts w:ascii="Times New Roman" w:eastAsia="Times New Roman" w:hAnsi="Times New Roman" w:cs="Times New Roman"/>
              </w:rPr>
              <w:br/>
              <w:t>To increase survey participation, the Office of Institutional Effectiveness uses a planned reminder sequence:</w:t>
            </w:r>
          </w:p>
          <w:p w:rsidR="00DA099A" w:rsidRPr="00FB6868" w:rsidRDefault="00DA099A" w:rsidP="00FB6868">
            <w:pPr>
              <w:pStyle w:val="ListParagraph"/>
              <w:numPr>
                <w:ilvl w:val="0"/>
                <w:numId w:val="33"/>
              </w:numPr>
              <w:spacing w:before="100" w:beforeAutospacing="1" w:after="100" w:afterAutospacing="1" w:line="240" w:lineRule="auto"/>
              <w:rPr>
                <w:rFonts w:ascii="Times New Roman" w:eastAsia="Times New Roman" w:hAnsi="Times New Roman"/>
              </w:rPr>
            </w:pPr>
            <w:r w:rsidRPr="00FB6868">
              <w:rPr>
                <w:rFonts w:ascii="Times New Roman" w:eastAsia="Times New Roman" w:hAnsi="Times New Roman"/>
                <w:b/>
                <w:bCs/>
              </w:rPr>
              <w:t>Initial Survey:</w:t>
            </w:r>
            <w:r w:rsidRPr="00FB6868">
              <w:rPr>
                <w:rFonts w:ascii="Times New Roman" w:eastAsia="Times New Roman" w:hAnsi="Times New Roman"/>
              </w:rPr>
              <w:t xml:space="preserve"> Sent at six months post-graduation.</w:t>
            </w:r>
          </w:p>
          <w:p w:rsidR="00DA099A" w:rsidRPr="00EC3B3E" w:rsidRDefault="00DA099A" w:rsidP="00DA099A">
            <w:pPr>
              <w:numPr>
                <w:ilvl w:val="0"/>
                <w:numId w:val="33"/>
              </w:numPr>
              <w:spacing w:before="100" w:beforeAutospacing="1" w:after="100" w:afterAutospacing="1"/>
              <w:rPr>
                <w:rFonts w:ascii="Times New Roman" w:eastAsia="Times New Roman" w:hAnsi="Times New Roman" w:cs="Times New Roman"/>
              </w:rPr>
            </w:pPr>
            <w:r w:rsidRPr="00EC3B3E">
              <w:rPr>
                <w:rFonts w:ascii="Times New Roman" w:eastAsia="Times New Roman" w:hAnsi="Times New Roman" w:cs="Times New Roman"/>
                <w:b/>
                <w:bCs/>
              </w:rPr>
              <w:t>Reminder Sequence:</w:t>
            </w:r>
            <w:r w:rsidRPr="00EC3B3E">
              <w:rPr>
                <w:rFonts w:ascii="Times New Roman" w:eastAsia="Times New Roman" w:hAnsi="Times New Roman" w:cs="Times New Roman"/>
              </w:rPr>
              <w:t xml:space="preserve"> Three subsequent weekly reminder emails are sent to all non-respondents to solicit increased participation.</w:t>
            </w:r>
          </w:p>
          <w:p w:rsidR="00DA099A" w:rsidRDefault="00DA099A" w:rsidP="00DA099A">
            <w:pPr>
              <w:numPr>
                <w:ilvl w:val="0"/>
                <w:numId w:val="33"/>
              </w:numPr>
              <w:spacing w:before="100" w:beforeAutospacing="1" w:after="100" w:afterAutospacing="1"/>
              <w:rPr>
                <w:rFonts w:ascii="Times New Roman" w:eastAsia="Times New Roman" w:hAnsi="Times New Roman" w:cs="Times New Roman"/>
              </w:rPr>
            </w:pPr>
            <w:r w:rsidRPr="00EC3B3E">
              <w:rPr>
                <w:rFonts w:ascii="Times New Roman" w:eastAsia="Times New Roman" w:hAnsi="Times New Roman" w:cs="Times New Roman"/>
                <w:b/>
                <w:bCs/>
              </w:rPr>
              <w:t>Survey Accessibility Enhancement:</w:t>
            </w:r>
            <w:r w:rsidRPr="00EC3B3E">
              <w:rPr>
                <w:rFonts w:ascii="Times New Roman" w:eastAsia="Times New Roman" w:hAnsi="Times New Roman" w:cs="Times New Roman"/>
              </w:rPr>
              <w:t xml:space="preserve"> The survey has been updated to be mobile phone friendly so that graduates can complete it easily on their phones.</w:t>
            </w:r>
          </w:p>
          <w:p w:rsidR="00431EF4" w:rsidRPr="00EC3B3E" w:rsidRDefault="00431EF4" w:rsidP="00DA099A">
            <w:pPr>
              <w:numPr>
                <w:ilvl w:val="0"/>
                <w:numId w:val="3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FSW BSN students are RN-to-BSN students, most students are working in an RN role when they enter the program and stay at that employer to pay back the tuition reimbursement from the employer. We will ask about current employment and plans to stay or change employers on the graduate exit survey. We will send the BSN post-graduation survey 1-2 months after graduation to inquire whether there was a job change requiring a BSN degree or a promotion following the completion of a BSN degree. </w:t>
            </w:r>
          </w:p>
          <w:p w:rsidR="00DA099A" w:rsidRPr="00EC3B3E" w:rsidRDefault="00DA099A" w:rsidP="00DA099A">
            <w:pPr>
              <w:spacing w:before="100" w:beforeAutospacing="1" w:after="100" w:afterAutospacing="1"/>
              <w:rPr>
                <w:rFonts w:ascii="Times New Roman" w:eastAsia="Times New Roman" w:hAnsi="Times New Roman" w:cs="Times New Roman"/>
              </w:rPr>
            </w:pPr>
            <w:r w:rsidRPr="00EC3B3E">
              <w:rPr>
                <w:rFonts w:ascii="Times New Roman" w:eastAsia="Times New Roman" w:hAnsi="Times New Roman" w:cs="Times New Roman"/>
              </w:rPr>
              <w:lastRenderedPageBreak/>
              <w:t>Text message reminders were proposed</w:t>
            </w:r>
            <w:r w:rsidR="00431EF4">
              <w:rPr>
                <w:rFonts w:ascii="Times New Roman" w:eastAsia="Times New Roman" w:hAnsi="Times New Roman" w:cs="Times New Roman"/>
              </w:rPr>
              <w:t xml:space="preserve"> for reminding graduates to complete the survey, but are not permitted under the </w:t>
            </w:r>
            <w:r w:rsidRPr="00EC3B3E">
              <w:rPr>
                <w:rFonts w:ascii="Times New Roman" w:eastAsia="Times New Roman" w:hAnsi="Times New Roman" w:cs="Times New Roman"/>
              </w:rPr>
              <w:t>current Florida SouthWestern State College policy.</w:t>
            </w:r>
          </w:p>
          <w:p w:rsidR="00DA099A" w:rsidRPr="00EC3B3E" w:rsidRDefault="00DA099A" w:rsidP="00DA099A">
            <w:pPr>
              <w:spacing w:before="100" w:beforeAutospacing="1" w:after="100" w:afterAutospacing="1"/>
              <w:rPr>
                <w:rFonts w:ascii="Times New Roman" w:eastAsia="Times New Roman" w:hAnsi="Times New Roman" w:cs="Times New Roman"/>
              </w:rPr>
            </w:pPr>
            <w:r w:rsidRPr="00EC3B3E">
              <w:rPr>
                <w:rFonts w:ascii="Times New Roman" w:eastAsia="Times New Roman" w:hAnsi="Times New Roman" w:cs="Times New Roman"/>
                <w:b/>
                <w:bCs/>
              </w:rPr>
              <w:t>Faculty Review and Continuous Improvement</w:t>
            </w:r>
            <w:r w:rsidRPr="00EC3B3E">
              <w:rPr>
                <w:rFonts w:ascii="Times New Roman" w:eastAsia="Times New Roman" w:hAnsi="Times New Roman" w:cs="Times New Roman"/>
              </w:rPr>
              <w:br/>
              <w:t xml:space="preserve">Following the survey cycle, the Office of Institutional Effectiveness provides updated employment and response rate data. BSN faculty </w:t>
            </w:r>
            <w:r>
              <w:rPr>
                <w:rFonts w:ascii="Times New Roman" w:eastAsia="Times New Roman" w:hAnsi="Times New Roman" w:cs="Times New Roman"/>
              </w:rPr>
              <w:t xml:space="preserve">will </w:t>
            </w:r>
            <w:r w:rsidRPr="00EC3B3E">
              <w:rPr>
                <w:rFonts w:ascii="Times New Roman" w:eastAsia="Times New Roman" w:hAnsi="Times New Roman" w:cs="Times New Roman"/>
              </w:rPr>
              <w:t>review these results during the next scheduled program meeting to determine the effectiveness of the staged reminder approach and to identify further opportunities for improvement.</w:t>
            </w:r>
          </w:p>
          <w:p w:rsidR="00DA099A" w:rsidRDefault="00DA099A" w:rsidP="00DA099A">
            <w:pPr>
              <w:spacing w:before="100" w:beforeAutospacing="1" w:after="100" w:afterAutospacing="1"/>
              <w:rPr>
                <w:rFonts w:ascii="Times New Roman" w:eastAsia="Times New Roman" w:hAnsi="Times New Roman" w:cs="Times New Roman"/>
              </w:rPr>
            </w:pPr>
            <w:r w:rsidRPr="00EC3B3E">
              <w:rPr>
                <w:rFonts w:ascii="Times New Roman" w:eastAsia="Times New Roman" w:hAnsi="Times New Roman" w:cs="Times New Roman"/>
                <w:b/>
                <w:bCs/>
              </w:rPr>
              <w:t>Survey Items</w:t>
            </w:r>
            <w:r w:rsidRPr="00EC3B3E">
              <w:rPr>
                <w:rFonts w:ascii="Times New Roman" w:eastAsia="Times New Roman" w:hAnsi="Times New Roman" w:cs="Times New Roman"/>
              </w:rPr>
              <w:br/>
              <w:t>Survey topics include:</w:t>
            </w:r>
            <w:r w:rsidRPr="00EC3B3E">
              <w:rPr>
                <w:rFonts w:ascii="Times New Roman" w:eastAsia="Times New Roman" w:hAnsi="Times New Roman" w:cs="Times New Roman"/>
              </w:rPr>
              <w:br/>
              <w:t>• Current RN employment status</w:t>
            </w:r>
            <w:r w:rsidR="0079204F">
              <w:rPr>
                <w:rFonts w:ascii="Times New Roman" w:eastAsia="Times New Roman" w:hAnsi="Times New Roman" w:cs="Times New Roman"/>
              </w:rPr>
              <w:t xml:space="preserve"> - changed to exit survey instead of 6-month </w:t>
            </w:r>
            <w:proofErr w:type="spellStart"/>
            <w:r w:rsidR="0079204F">
              <w:rPr>
                <w:rFonts w:ascii="Times New Roman" w:eastAsia="Times New Roman" w:hAnsi="Times New Roman" w:cs="Times New Roman"/>
              </w:rPr>
              <w:t>post graduation</w:t>
            </w:r>
            <w:proofErr w:type="spellEnd"/>
            <w:r w:rsidRPr="00EC3B3E">
              <w:rPr>
                <w:rFonts w:ascii="Times New Roman" w:eastAsia="Times New Roman" w:hAnsi="Times New Roman" w:cs="Times New Roman"/>
              </w:rPr>
              <w:br/>
              <w:t>• Influence of the BSN on advancement or role changes</w:t>
            </w:r>
            <w:r w:rsidR="0079204F">
              <w:rPr>
                <w:rFonts w:ascii="Times New Roman" w:eastAsia="Times New Roman" w:hAnsi="Times New Roman" w:cs="Times New Roman"/>
              </w:rPr>
              <w:t xml:space="preserve"> – changed to 1-2</w:t>
            </w:r>
            <w:r w:rsidR="00FB6868">
              <w:rPr>
                <w:rFonts w:ascii="Times New Roman" w:eastAsia="Times New Roman" w:hAnsi="Times New Roman" w:cs="Times New Roman"/>
              </w:rPr>
              <w:t>-</w:t>
            </w:r>
            <w:r w:rsidR="0079204F">
              <w:rPr>
                <w:rFonts w:ascii="Times New Roman" w:eastAsia="Times New Roman" w:hAnsi="Times New Roman" w:cs="Times New Roman"/>
              </w:rPr>
              <w:t>month survey post-graduation -</w:t>
            </w:r>
            <w:r w:rsidRPr="00EC3B3E">
              <w:rPr>
                <w:rFonts w:ascii="Times New Roman" w:eastAsia="Times New Roman" w:hAnsi="Times New Roman" w:cs="Times New Roman"/>
              </w:rPr>
              <w:br/>
              <w:t>• Optional open-ended comments regarding the BSN’s contribution to professional growth</w:t>
            </w:r>
            <w:r w:rsidR="0079204F">
              <w:rPr>
                <w:rFonts w:ascii="Times New Roman" w:eastAsia="Times New Roman" w:hAnsi="Times New Roman" w:cs="Times New Roman"/>
              </w:rPr>
              <w:t xml:space="preserve"> – added to 1-2 month post graduate survey</w:t>
            </w:r>
          </w:p>
          <w:p w:rsidR="0079204F" w:rsidRPr="00EC3B3E" w:rsidRDefault="0079204F" w:rsidP="00DA099A">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00FB6868">
              <w:rPr>
                <w:rFonts w:ascii="Times New Roman" w:eastAsia="Times New Roman" w:hAnsi="Times New Roman" w:cs="Times New Roman"/>
              </w:rPr>
              <w:t xml:space="preserve">The </w:t>
            </w:r>
            <w:r>
              <w:rPr>
                <w:rFonts w:ascii="Times New Roman" w:eastAsia="Times New Roman" w:hAnsi="Times New Roman" w:cs="Times New Roman"/>
              </w:rPr>
              <w:t xml:space="preserve">above changes are put in place to improve survey return and gather more information – start in Fall 2025 with changes. </w:t>
            </w:r>
          </w:p>
          <w:p w:rsidR="00DA099A" w:rsidRDefault="00FB6868" w:rsidP="00FB6868">
            <w:pPr>
              <w:pStyle w:val="ListParagraph"/>
              <w:numPr>
                <w:ilvl w:val="0"/>
                <w:numId w:val="30"/>
              </w:numPr>
              <w:spacing w:after="0" w:line="240" w:lineRule="auto"/>
            </w:pPr>
            <w:r>
              <w:t>BSN Faculty assisted with writing response addressing SVR concerns and providing further evidence. See handout. Dr. Holland forwarded to ACEN by deadline.</w:t>
            </w:r>
          </w:p>
          <w:p w:rsidR="00DA099A" w:rsidRPr="00DB65B6" w:rsidRDefault="00DA099A" w:rsidP="00987130"/>
          <w:p w:rsidR="007A339F" w:rsidRPr="007A339F" w:rsidRDefault="007A339F" w:rsidP="00987130">
            <w:pPr>
              <w:pStyle w:val="ListParagraph"/>
              <w:spacing w:after="0" w:line="240" w:lineRule="auto"/>
              <w:ind w:left="360"/>
              <w:rPr>
                <w:b/>
              </w:rPr>
            </w:pPr>
          </w:p>
        </w:tc>
        <w:tc>
          <w:tcPr>
            <w:tcW w:w="1076" w:type="dxa"/>
            <w:shd w:val="clear" w:color="auto" w:fill="auto"/>
          </w:tcPr>
          <w:p w:rsidR="00C326EF" w:rsidRPr="00C326EF" w:rsidRDefault="00C326EF" w:rsidP="0079204F">
            <w:pPr>
              <w:pStyle w:val="ListParagraph"/>
              <w:spacing w:after="0" w:line="240" w:lineRule="auto"/>
              <w:ind w:left="360"/>
              <w:rPr>
                <w:b/>
              </w:rPr>
            </w:pPr>
          </w:p>
        </w:tc>
        <w:tc>
          <w:tcPr>
            <w:tcW w:w="1591" w:type="dxa"/>
            <w:shd w:val="clear" w:color="auto" w:fill="auto"/>
          </w:tcPr>
          <w:p w:rsidR="008D5F8B" w:rsidRDefault="008D5F8B" w:rsidP="007A339F">
            <w:pPr>
              <w:rPr>
                <w:b/>
              </w:rPr>
            </w:pPr>
          </w:p>
          <w:p w:rsidR="003D30A8" w:rsidRDefault="003D30A8" w:rsidP="007A339F">
            <w:pPr>
              <w:rPr>
                <w:b/>
              </w:rPr>
            </w:pPr>
          </w:p>
          <w:p w:rsidR="007A339F" w:rsidRPr="003D30A8" w:rsidRDefault="00987130" w:rsidP="003D30A8">
            <w:pPr>
              <w:pStyle w:val="ListParagraph"/>
              <w:numPr>
                <w:ilvl w:val="0"/>
                <w:numId w:val="32"/>
              </w:numPr>
              <w:spacing w:after="0" w:line="240" w:lineRule="auto"/>
              <w:rPr>
                <w:b/>
              </w:rPr>
            </w:pPr>
            <w:r w:rsidRPr="003D30A8">
              <w:rPr>
                <w:b/>
              </w:rPr>
              <w:t xml:space="preserve">BH </w:t>
            </w:r>
          </w:p>
          <w:p w:rsidR="00C326EF" w:rsidRDefault="00C326EF" w:rsidP="00C326EF">
            <w:pPr>
              <w:rPr>
                <w:b/>
              </w:rPr>
            </w:pPr>
          </w:p>
          <w:p w:rsidR="00C326EF" w:rsidRDefault="00C326EF" w:rsidP="00C326EF">
            <w:pPr>
              <w:rPr>
                <w:b/>
              </w:rPr>
            </w:pPr>
          </w:p>
          <w:p w:rsidR="00C326EF" w:rsidRDefault="00C326EF" w:rsidP="00C326EF">
            <w:pPr>
              <w:rPr>
                <w:b/>
              </w:rPr>
            </w:pPr>
          </w:p>
          <w:p w:rsidR="00C326EF" w:rsidRDefault="00C326EF" w:rsidP="00C326EF">
            <w:pPr>
              <w:rPr>
                <w:b/>
              </w:rPr>
            </w:pPr>
          </w:p>
          <w:p w:rsidR="00C326EF" w:rsidRDefault="00C326EF" w:rsidP="00C326EF">
            <w:pPr>
              <w:rPr>
                <w:b/>
              </w:rPr>
            </w:pPr>
          </w:p>
          <w:p w:rsidR="00C326EF" w:rsidRDefault="00C326EF" w:rsidP="00C326EF">
            <w:pPr>
              <w:rPr>
                <w:b/>
              </w:rPr>
            </w:pPr>
          </w:p>
          <w:p w:rsidR="00C326EF" w:rsidRDefault="00C326EF" w:rsidP="00C326EF">
            <w:pPr>
              <w:rPr>
                <w:b/>
              </w:rPr>
            </w:pPr>
          </w:p>
          <w:p w:rsidR="00C326EF" w:rsidRDefault="00C326EF" w:rsidP="003D30A8">
            <w:pPr>
              <w:pStyle w:val="ListParagraph"/>
              <w:numPr>
                <w:ilvl w:val="0"/>
                <w:numId w:val="32"/>
              </w:numPr>
              <w:spacing w:after="0" w:line="240" w:lineRule="auto"/>
              <w:rPr>
                <w:b/>
              </w:rPr>
            </w:pPr>
            <w:r w:rsidRPr="003D30A8">
              <w:rPr>
                <w:b/>
              </w:rPr>
              <w:t>BSN Faculty</w:t>
            </w:r>
          </w:p>
          <w:p w:rsidR="003D30A8" w:rsidRDefault="003D30A8" w:rsidP="003D30A8">
            <w:pPr>
              <w:rPr>
                <w:b/>
              </w:rPr>
            </w:pPr>
          </w:p>
          <w:p w:rsidR="003D30A8" w:rsidRDefault="003D30A8" w:rsidP="003D30A8">
            <w:pPr>
              <w:rPr>
                <w:b/>
              </w:rPr>
            </w:pPr>
          </w:p>
          <w:p w:rsidR="003D30A8" w:rsidRDefault="003D30A8" w:rsidP="003D30A8">
            <w:pPr>
              <w:rPr>
                <w:b/>
              </w:rPr>
            </w:pPr>
          </w:p>
          <w:p w:rsidR="003D30A8" w:rsidRDefault="003D30A8" w:rsidP="003D30A8">
            <w:pPr>
              <w:pStyle w:val="ListParagraph"/>
              <w:numPr>
                <w:ilvl w:val="0"/>
                <w:numId w:val="32"/>
              </w:numPr>
              <w:spacing w:after="0" w:line="240" w:lineRule="auto"/>
              <w:rPr>
                <w:b/>
              </w:rPr>
            </w:pPr>
            <w:r>
              <w:rPr>
                <w:b/>
              </w:rPr>
              <w:lastRenderedPageBreak/>
              <w:t>BH</w:t>
            </w:r>
          </w:p>
          <w:p w:rsidR="003D30A8" w:rsidRDefault="003D30A8" w:rsidP="003D30A8">
            <w:pPr>
              <w:rPr>
                <w:b/>
              </w:rPr>
            </w:pPr>
          </w:p>
          <w:p w:rsidR="003D30A8" w:rsidRDefault="003D30A8" w:rsidP="003D30A8">
            <w:pPr>
              <w:rPr>
                <w:b/>
              </w:rPr>
            </w:pPr>
          </w:p>
          <w:p w:rsidR="003D30A8" w:rsidRDefault="003D30A8" w:rsidP="003D30A8">
            <w:pPr>
              <w:rPr>
                <w:b/>
              </w:rPr>
            </w:pPr>
          </w:p>
          <w:p w:rsidR="003D30A8" w:rsidRDefault="003D30A8" w:rsidP="003D30A8">
            <w:pPr>
              <w:pStyle w:val="ListParagraph"/>
              <w:numPr>
                <w:ilvl w:val="0"/>
                <w:numId w:val="32"/>
              </w:numPr>
              <w:spacing w:after="0" w:line="240" w:lineRule="auto"/>
              <w:rPr>
                <w:b/>
              </w:rPr>
            </w:pPr>
            <w:r>
              <w:rPr>
                <w:b/>
              </w:rPr>
              <w:t>MW, SS, GD. BJ</w:t>
            </w:r>
          </w:p>
          <w:p w:rsidR="003D30A8" w:rsidRDefault="003D30A8" w:rsidP="003D30A8">
            <w:pPr>
              <w:rPr>
                <w:b/>
              </w:rPr>
            </w:pPr>
          </w:p>
          <w:p w:rsidR="003D30A8" w:rsidRDefault="003D30A8" w:rsidP="003D30A8">
            <w:pPr>
              <w:rPr>
                <w:b/>
              </w:rPr>
            </w:pPr>
          </w:p>
          <w:p w:rsidR="003D30A8" w:rsidRDefault="003D30A8" w:rsidP="003D30A8">
            <w:pPr>
              <w:rPr>
                <w:b/>
              </w:rPr>
            </w:pPr>
          </w:p>
          <w:p w:rsidR="003D30A8" w:rsidRDefault="003D30A8" w:rsidP="003D30A8">
            <w:pPr>
              <w:rPr>
                <w:b/>
              </w:rPr>
            </w:pPr>
          </w:p>
          <w:p w:rsidR="003D30A8" w:rsidRDefault="003D30A8" w:rsidP="003D30A8">
            <w:pPr>
              <w:rPr>
                <w:b/>
              </w:rPr>
            </w:pPr>
          </w:p>
          <w:p w:rsidR="003D30A8" w:rsidRDefault="003D30A8" w:rsidP="003D30A8">
            <w:pPr>
              <w:pStyle w:val="ListParagraph"/>
              <w:numPr>
                <w:ilvl w:val="0"/>
                <w:numId w:val="32"/>
              </w:numPr>
              <w:spacing w:after="0" w:line="240" w:lineRule="auto"/>
              <w:rPr>
                <w:b/>
              </w:rPr>
            </w:pPr>
            <w:r>
              <w:rPr>
                <w:b/>
              </w:rPr>
              <w:t>GD, BH</w:t>
            </w:r>
          </w:p>
          <w:p w:rsidR="003D30A8" w:rsidRDefault="003D30A8" w:rsidP="003D30A8">
            <w:pPr>
              <w:rPr>
                <w:b/>
              </w:rPr>
            </w:pPr>
          </w:p>
          <w:p w:rsidR="003D30A8" w:rsidRDefault="003D30A8" w:rsidP="003D30A8">
            <w:pPr>
              <w:rPr>
                <w:b/>
              </w:rPr>
            </w:pPr>
          </w:p>
          <w:p w:rsidR="003D30A8" w:rsidRDefault="003D30A8" w:rsidP="003D30A8">
            <w:pPr>
              <w:rPr>
                <w:b/>
              </w:rPr>
            </w:pPr>
          </w:p>
          <w:p w:rsidR="003D30A8" w:rsidRPr="003D30A8" w:rsidRDefault="003D30A8" w:rsidP="003D30A8">
            <w:pPr>
              <w:rPr>
                <w:b/>
              </w:rPr>
            </w:pPr>
          </w:p>
        </w:tc>
      </w:tr>
      <w:tr w:rsidR="008D5F8B" w:rsidTr="0079204F">
        <w:tc>
          <w:tcPr>
            <w:tcW w:w="3113" w:type="dxa"/>
            <w:shd w:val="clear" w:color="auto" w:fill="DEEAF6" w:themeFill="accent5" w:themeFillTint="33"/>
          </w:tcPr>
          <w:p w:rsidR="008D5F8B" w:rsidRPr="00D17B83" w:rsidRDefault="008D5F8B" w:rsidP="008D5F8B">
            <w:pPr>
              <w:jc w:val="center"/>
              <w:rPr>
                <w:b/>
              </w:rPr>
            </w:pPr>
          </w:p>
        </w:tc>
        <w:tc>
          <w:tcPr>
            <w:tcW w:w="1898" w:type="dxa"/>
            <w:shd w:val="clear" w:color="auto" w:fill="DEEAF6" w:themeFill="accent5" w:themeFillTint="33"/>
          </w:tcPr>
          <w:p w:rsidR="008D5F8B" w:rsidRPr="00D17B83" w:rsidRDefault="008D5F8B" w:rsidP="007A339F">
            <w:pPr>
              <w:rPr>
                <w:b/>
              </w:rPr>
            </w:pPr>
          </w:p>
        </w:tc>
        <w:tc>
          <w:tcPr>
            <w:tcW w:w="6542" w:type="dxa"/>
            <w:shd w:val="clear" w:color="auto" w:fill="DEEAF6" w:themeFill="accent5" w:themeFillTint="33"/>
          </w:tcPr>
          <w:p w:rsidR="008D5F8B" w:rsidRPr="00D17B83" w:rsidRDefault="008D5F8B" w:rsidP="007A339F">
            <w:pPr>
              <w:rPr>
                <w:b/>
              </w:rPr>
            </w:pPr>
          </w:p>
        </w:tc>
        <w:tc>
          <w:tcPr>
            <w:tcW w:w="1076" w:type="dxa"/>
            <w:shd w:val="clear" w:color="auto" w:fill="DEEAF6" w:themeFill="accent5" w:themeFillTint="33"/>
          </w:tcPr>
          <w:p w:rsidR="008D5F8B" w:rsidRPr="00D17B83" w:rsidRDefault="008D5F8B" w:rsidP="007A339F">
            <w:pPr>
              <w:rPr>
                <w:b/>
              </w:rPr>
            </w:pPr>
          </w:p>
        </w:tc>
        <w:tc>
          <w:tcPr>
            <w:tcW w:w="1591" w:type="dxa"/>
            <w:shd w:val="clear" w:color="auto" w:fill="DEEAF6" w:themeFill="accent5" w:themeFillTint="33"/>
          </w:tcPr>
          <w:p w:rsidR="008D5F8B" w:rsidRPr="00D17B83" w:rsidRDefault="008D5F8B" w:rsidP="007A339F">
            <w:pPr>
              <w:rPr>
                <w:b/>
              </w:rPr>
            </w:pPr>
          </w:p>
        </w:tc>
      </w:tr>
      <w:tr w:rsidR="00CC3E21" w:rsidTr="0079204F">
        <w:tc>
          <w:tcPr>
            <w:tcW w:w="3113" w:type="dxa"/>
            <w:shd w:val="clear" w:color="auto" w:fill="auto"/>
          </w:tcPr>
          <w:p w:rsidR="00CC3E21" w:rsidRPr="00DF543A" w:rsidRDefault="00CC3E21" w:rsidP="00DF543A">
            <w:pPr>
              <w:pStyle w:val="ListParagraph"/>
              <w:numPr>
                <w:ilvl w:val="0"/>
                <w:numId w:val="2"/>
              </w:numPr>
              <w:spacing w:after="0" w:line="240" w:lineRule="auto"/>
              <w:rPr>
                <w:b/>
              </w:rPr>
            </w:pPr>
            <w:r w:rsidRPr="00DF543A">
              <w:rPr>
                <w:b/>
              </w:rPr>
              <w:t>Other Business</w:t>
            </w:r>
          </w:p>
          <w:p w:rsidR="00CC3E21" w:rsidRPr="00CC3E21" w:rsidRDefault="00CC3E21" w:rsidP="00DF543A">
            <w:pPr>
              <w:pStyle w:val="ListParagraph"/>
              <w:spacing w:after="0" w:line="240" w:lineRule="auto"/>
              <w:ind w:left="360"/>
              <w:rPr>
                <w:b/>
              </w:rPr>
            </w:pPr>
          </w:p>
          <w:p w:rsidR="00CC3E21" w:rsidRPr="00D17B83" w:rsidRDefault="00CC3E21" w:rsidP="00CC3E21">
            <w:pPr>
              <w:rPr>
                <w:b/>
              </w:rPr>
            </w:pPr>
          </w:p>
        </w:tc>
        <w:tc>
          <w:tcPr>
            <w:tcW w:w="1898" w:type="dxa"/>
            <w:shd w:val="clear" w:color="auto" w:fill="auto"/>
          </w:tcPr>
          <w:p w:rsidR="00CC3E21" w:rsidRPr="00D17B83" w:rsidRDefault="00CC3E21" w:rsidP="00CC3E21">
            <w:pPr>
              <w:rPr>
                <w:b/>
              </w:rPr>
            </w:pPr>
          </w:p>
        </w:tc>
        <w:tc>
          <w:tcPr>
            <w:tcW w:w="6542" w:type="dxa"/>
            <w:shd w:val="clear" w:color="auto" w:fill="auto"/>
          </w:tcPr>
          <w:p w:rsidR="00CC3E21" w:rsidRPr="00D17B83" w:rsidRDefault="00CC3E21" w:rsidP="00CC3E21">
            <w:pPr>
              <w:rPr>
                <w:b/>
              </w:rPr>
            </w:pPr>
          </w:p>
        </w:tc>
        <w:tc>
          <w:tcPr>
            <w:tcW w:w="1076" w:type="dxa"/>
            <w:shd w:val="clear" w:color="auto" w:fill="auto"/>
          </w:tcPr>
          <w:p w:rsidR="00CC3E21" w:rsidRPr="00D17B83" w:rsidRDefault="00CC3E21" w:rsidP="00CC3E21">
            <w:pPr>
              <w:rPr>
                <w:b/>
              </w:rPr>
            </w:pPr>
          </w:p>
        </w:tc>
        <w:tc>
          <w:tcPr>
            <w:tcW w:w="1591" w:type="dxa"/>
            <w:shd w:val="clear" w:color="auto" w:fill="auto"/>
          </w:tcPr>
          <w:p w:rsidR="00CC3E21" w:rsidRDefault="00CC3E21" w:rsidP="00CC3E21">
            <w:pPr>
              <w:rPr>
                <w:b/>
              </w:rPr>
            </w:pPr>
          </w:p>
          <w:p w:rsidR="00CC3E21" w:rsidRPr="00D17B83" w:rsidRDefault="00CC3E21" w:rsidP="00CC3E21">
            <w:pPr>
              <w:rPr>
                <w:b/>
              </w:rPr>
            </w:pPr>
          </w:p>
        </w:tc>
      </w:tr>
      <w:tr w:rsidR="00CC3E21" w:rsidTr="0079204F">
        <w:tc>
          <w:tcPr>
            <w:tcW w:w="3113" w:type="dxa"/>
            <w:shd w:val="clear" w:color="auto" w:fill="auto"/>
          </w:tcPr>
          <w:p w:rsidR="00CC3E21" w:rsidRDefault="00DD0752" w:rsidP="00CC3E21">
            <w:pPr>
              <w:rPr>
                <w:b/>
              </w:rPr>
            </w:pPr>
            <w:r>
              <w:rPr>
                <w:b/>
              </w:rPr>
              <w:t xml:space="preserve">Meeting Adjourned: </w:t>
            </w:r>
          </w:p>
        </w:tc>
        <w:tc>
          <w:tcPr>
            <w:tcW w:w="1898" w:type="dxa"/>
            <w:shd w:val="clear" w:color="auto" w:fill="auto"/>
          </w:tcPr>
          <w:p w:rsidR="00CC3E21" w:rsidRPr="00D17B83" w:rsidRDefault="003D30A8" w:rsidP="00CC3E21">
            <w:pPr>
              <w:rPr>
                <w:b/>
              </w:rPr>
            </w:pPr>
            <w:r>
              <w:rPr>
                <w:b/>
              </w:rPr>
              <w:t>1</w:t>
            </w:r>
            <w:r w:rsidR="00FB6868">
              <w:rPr>
                <w:b/>
              </w:rPr>
              <w:t>6</w:t>
            </w:r>
            <w:r>
              <w:rPr>
                <w:b/>
              </w:rPr>
              <w:t>00</w:t>
            </w:r>
          </w:p>
        </w:tc>
        <w:tc>
          <w:tcPr>
            <w:tcW w:w="6542" w:type="dxa"/>
            <w:shd w:val="clear" w:color="auto" w:fill="auto"/>
          </w:tcPr>
          <w:p w:rsidR="00CC3E21" w:rsidRPr="00D17B83" w:rsidRDefault="00CC3E21" w:rsidP="00CC3E21">
            <w:pPr>
              <w:rPr>
                <w:b/>
              </w:rPr>
            </w:pPr>
          </w:p>
        </w:tc>
        <w:tc>
          <w:tcPr>
            <w:tcW w:w="1076" w:type="dxa"/>
            <w:shd w:val="clear" w:color="auto" w:fill="auto"/>
          </w:tcPr>
          <w:p w:rsidR="00CC3E21" w:rsidRPr="00D17B83" w:rsidRDefault="00CC3E21" w:rsidP="00CC3E21">
            <w:pPr>
              <w:rPr>
                <w:b/>
              </w:rPr>
            </w:pPr>
          </w:p>
        </w:tc>
        <w:tc>
          <w:tcPr>
            <w:tcW w:w="1591" w:type="dxa"/>
            <w:shd w:val="clear" w:color="auto" w:fill="auto"/>
          </w:tcPr>
          <w:p w:rsidR="00CC3E21" w:rsidRDefault="00CC3E21" w:rsidP="00CC3E21">
            <w:pPr>
              <w:rPr>
                <w:b/>
              </w:rPr>
            </w:pPr>
          </w:p>
        </w:tc>
      </w:tr>
    </w:tbl>
    <w:p w:rsidR="00C20FA6" w:rsidRPr="00EF6E4E" w:rsidRDefault="00C20FA6" w:rsidP="00EF6E4E"/>
    <w:sectPr w:rsidR="00C20FA6" w:rsidRPr="00EF6E4E" w:rsidSect="00091565">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CA6" w:rsidRDefault="002C0CA6" w:rsidP="00091565">
      <w:pPr>
        <w:spacing w:after="0" w:line="240" w:lineRule="auto"/>
      </w:pPr>
      <w:r>
        <w:separator/>
      </w:r>
    </w:p>
  </w:endnote>
  <w:endnote w:type="continuationSeparator" w:id="0">
    <w:p w:rsidR="002C0CA6" w:rsidRDefault="002C0CA6" w:rsidP="0009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CA6" w:rsidRDefault="002C0CA6" w:rsidP="00091565">
      <w:pPr>
        <w:spacing w:after="0" w:line="240" w:lineRule="auto"/>
      </w:pPr>
      <w:r>
        <w:separator/>
      </w:r>
    </w:p>
  </w:footnote>
  <w:footnote w:type="continuationSeparator" w:id="0">
    <w:p w:rsidR="002C0CA6" w:rsidRDefault="002C0CA6" w:rsidP="0009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E3" w:rsidRDefault="008F42E3" w:rsidP="008F42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5DAF"/>
    <w:multiLevelType w:val="hybridMultilevel"/>
    <w:tmpl w:val="1C067A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3E0749"/>
    <w:multiLevelType w:val="hybridMultilevel"/>
    <w:tmpl w:val="5350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509AC"/>
    <w:multiLevelType w:val="hybridMultilevel"/>
    <w:tmpl w:val="2FECF5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8B3AA6"/>
    <w:multiLevelType w:val="hybridMultilevel"/>
    <w:tmpl w:val="9BA21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11513"/>
    <w:multiLevelType w:val="hybridMultilevel"/>
    <w:tmpl w:val="C58ADB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714C05"/>
    <w:multiLevelType w:val="hybridMultilevel"/>
    <w:tmpl w:val="CEDA31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0B33E7"/>
    <w:multiLevelType w:val="hybridMultilevel"/>
    <w:tmpl w:val="526A1B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C51AF"/>
    <w:multiLevelType w:val="hybridMultilevel"/>
    <w:tmpl w:val="5192C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6754B"/>
    <w:multiLevelType w:val="hybridMultilevel"/>
    <w:tmpl w:val="E0E69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84093"/>
    <w:multiLevelType w:val="hybridMultilevel"/>
    <w:tmpl w:val="CA360E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A3793"/>
    <w:multiLevelType w:val="hybridMultilevel"/>
    <w:tmpl w:val="C4B83C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CB6DEE"/>
    <w:multiLevelType w:val="hybridMultilevel"/>
    <w:tmpl w:val="B1CA4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A5075"/>
    <w:multiLevelType w:val="hybridMultilevel"/>
    <w:tmpl w:val="59BE5F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8E6F20"/>
    <w:multiLevelType w:val="hybridMultilevel"/>
    <w:tmpl w:val="3F5AD4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B130A6"/>
    <w:multiLevelType w:val="hybridMultilevel"/>
    <w:tmpl w:val="CE60F150"/>
    <w:lvl w:ilvl="0" w:tplc="57EC8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263609"/>
    <w:multiLevelType w:val="hybridMultilevel"/>
    <w:tmpl w:val="16F65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905A1"/>
    <w:multiLevelType w:val="hybridMultilevel"/>
    <w:tmpl w:val="322C16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E424BE"/>
    <w:multiLevelType w:val="hybridMultilevel"/>
    <w:tmpl w:val="F1748E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7071C1"/>
    <w:multiLevelType w:val="hybridMultilevel"/>
    <w:tmpl w:val="01322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951EE"/>
    <w:multiLevelType w:val="hybridMultilevel"/>
    <w:tmpl w:val="95D0E5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BB15AB"/>
    <w:multiLevelType w:val="hybridMultilevel"/>
    <w:tmpl w:val="8708A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CE7AD0"/>
    <w:multiLevelType w:val="hybridMultilevel"/>
    <w:tmpl w:val="F33CCE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B74DC4"/>
    <w:multiLevelType w:val="hybridMultilevel"/>
    <w:tmpl w:val="0018E3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733726"/>
    <w:multiLevelType w:val="hybridMultilevel"/>
    <w:tmpl w:val="333CD5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891C88"/>
    <w:multiLevelType w:val="hybridMultilevel"/>
    <w:tmpl w:val="7AB4A6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045B4C"/>
    <w:multiLevelType w:val="hybridMultilevel"/>
    <w:tmpl w:val="0A2A37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0F64AB"/>
    <w:multiLevelType w:val="hybridMultilevel"/>
    <w:tmpl w:val="A8E039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A11BFD"/>
    <w:multiLevelType w:val="hybridMultilevel"/>
    <w:tmpl w:val="7248C5B8"/>
    <w:lvl w:ilvl="0" w:tplc="5FA22B2C">
      <w:start w:val="1"/>
      <w:numFmt w:val="decimal"/>
      <w:lvlText w:val="%1."/>
      <w:lvlJc w:val="left"/>
      <w:pPr>
        <w:ind w:left="360" w:hanging="360"/>
      </w:pPr>
      <w:rPr>
        <w:rFonts w:hint="default"/>
      </w:rPr>
    </w:lvl>
    <w:lvl w:ilvl="1" w:tplc="BCCC93B4">
      <w:start w:val="1"/>
      <w:numFmt w:val="upp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361F06"/>
    <w:multiLevelType w:val="hybridMultilevel"/>
    <w:tmpl w:val="1144D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E7590"/>
    <w:multiLevelType w:val="hybridMultilevel"/>
    <w:tmpl w:val="5DA86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7424C4"/>
    <w:multiLevelType w:val="multilevel"/>
    <w:tmpl w:val="4EB03F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035C76"/>
    <w:multiLevelType w:val="hybridMultilevel"/>
    <w:tmpl w:val="958816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EF3ED1"/>
    <w:multiLevelType w:val="hybridMultilevel"/>
    <w:tmpl w:val="5AA60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7"/>
  </w:num>
  <w:num w:numId="3">
    <w:abstractNumId w:val="23"/>
  </w:num>
  <w:num w:numId="4">
    <w:abstractNumId w:val="13"/>
  </w:num>
  <w:num w:numId="5">
    <w:abstractNumId w:val="26"/>
  </w:num>
  <w:num w:numId="6">
    <w:abstractNumId w:val="5"/>
  </w:num>
  <w:num w:numId="7">
    <w:abstractNumId w:val="31"/>
  </w:num>
  <w:num w:numId="8">
    <w:abstractNumId w:val="9"/>
  </w:num>
  <w:num w:numId="9">
    <w:abstractNumId w:val="21"/>
  </w:num>
  <w:num w:numId="10">
    <w:abstractNumId w:val="24"/>
  </w:num>
  <w:num w:numId="11">
    <w:abstractNumId w:val="6"/>
  </w:num>
  <w:num w:numId="12">
    <w:abstractNumId w:val="17"/>
  </w:num>
  <w:num w:numId="13">
    <w:abstractNumId w:val="25"/>
  </w:num>
  <w:num w:numId="14">
    <w:abstractNumId w:val="29"/>
  </w:num>
  <w:num w:numId="15">
    <w:abstractNumId w:val="8"/>
  </w:num>
  <w:num w:numId="16">
    <w:abstractNumId w:val="15"/>
  </w:num>
  <w:num w:numId="17">
    <w:abstractNumId w:val="18"/>
  </w:num>
  <w:num w:numId="18">
    <w:abstractNumId w:val="0"/>
  </w:num>
  <w:num w:numId="19">
    <w:abstractNumId w:val="10"/>
  </w:num>
  <w:num w:numId="20">
    <w:abstractNumId w:val="22"/>
  </w:num>
  <w:num w:numId="21">
    <w:abstractNumId w:val="4"/>
  </w:num>
  <w:num w:numId="22">
    <w:abstractNumId w:val="7"/>
  </w:num>
  <w:num w:numId="23">
    <w:abstractNumId w:val="3"/>
  </w:num>
  <w:num w:numId="24">
    <w:abstractNumId w:val="20"/>
  </w:num>
  <w:num w:numId="25">
    <w:abstractNumId w:val="16"/>
  </w:num>
  <w:num w:numId="26">
    <w:abstractNumId w:val="12"/>
  </w:num>
  <w:num w:numId="27">
    <w:abstractNumId w:val="32"/>
  </w:num>
  <w:num w:numId="28">
    <w:abstractNumId w:val="2"/>
  </w:num>
  <w:num w:numId="29">
    <w:abstractNumId w:val="19"/>
  </w:num>
  <w:num w:numId="30">
    <w:abstractNumId w:val="28"/>
  </w:num>
  <w:num w:numId="31">
    <w:abstractNumId w:val="14"/>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65"/>
    <w:rsid w:val="0004709F"/>
    <w:rsid w:val="00091565"/>
    <w:rsid w:val="001275D7"/>
    <w:rsid w:val="001E7D94"/>
    <w:rsid w:val="00220722"/>
    <w:rsid w:val="00290E60"/>
    <w:rsid w:val="002C0CA6"/>
    <w:rsid w:val="003B1A09"/>
    <w:rsid w:val="003D30A8"/>
    <w:rsid w:val="00410460"/>
    <w:rsid w:val="00431EF4"/>
    <w:rsid w:val="004A2DC1"/>
    <w:rsid w:val="00510C69"/>
    <w:rsid w:val="005A2EB6"/>
    <w:rsid w:val="005E7D64"/>
    <w:rsid w:val="005F530A"/>
    <w:rsid w:val="00700E6C"/>
    <w:rsid w:val="0079204F"/>
    <w:rsid w:val="007A339F"/>
    <w:rsid w:val="007C571E"/>
    <w:rsid w:val="00840132"/>
    <w:rsid w:val="0084553D"/>
    <w:rsid w:val="008A7446"/>
    <w:rsid w:val="008D0B2C"/>
    <w:rsid w:val="008D5F8B"/>
    <w:rsid w:val="008F42E3"/>
    <w:rsid w:val="00910E2D"/>
    <w:rsid w:val="0093047E"/>
    <w:rsid w:val="009354C5"/>
    <w:rsid w:val="00987130"/>
    <w:rsid w:val="009D5A6A"/>
    <w:rsid w:val="00A135FA"/>
    <w:rsid w:val="00AA56E2"/>
    <w:rsid w:val="00AB2BC2"/>
    <w:rsid w:val="00AB7862"/>
    <w:rsid w:val="00B561A7"/>
    <w:rsid w:val="00B56FC6"/>
    <w:rsid w:val="00C20FA6"/>
    <w:rsid w:val="00C326EF"/>
    <w:rsid w:val="00CC3E21"/>
    <w:rsid w:val="00D17B83"/>
    <w:rsid w:val="00D33E75"/>
    <w:rsid w:val="00DA099A"/>
    <w:rsid w:val="00DB4B82"/>
    <w:rsid w:val="00DD0752"/>
    <w:rsid w:val="00DF543A"/>
    <w:rsid w:val="00E54490"/>
    <w:rsid w:val="00EB08C5"/>
    <w:rsid w:val="00ED2EE7"/>
    <w:rsid w:val="00EF6E4E"/>
    <w:rsid w:val="00FA2D62"/>
    <w:rsid w:val="00FB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12A0C45-845C-4C93-92E3-916CD7B9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326E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1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65"/>
  </w:style>
  <w:style w:type="paragraph" w:styleId="Footer">
    <w:name w:val="footer"/>
    <w:basedOn w:val="Normal"/>
    <w:link w:val="FooterChar"/>
    <w:uiPriority w:val="99"/>
    <w:unhideWhenUsed/>
    <w:rsid w:val="00091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65"/>
  </w:style>
  <w:style w:type="table" w:styleId="TableGrid">
    <w:name w:val="Table Grid"/>
    <w:basedOn w:val="TableNormal"/>
    <w:uiPriority w:val="39"/>
    <w:rsid w:val="008F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D94"/>
    <w:pPr>
      <w:spacing w:after="200" w:line="276" w:lineRule="auto"/>
      <w:ind w:left="720"/>
      <w:contextualSpacing/>
    </w:pPr>
    <w:rPr>
      <w:rFonts w:ascii="Calibri" w:eastAsia="Calibri" w:hAnsi="Calibri" w:cs="Times New Roman"/>
    </w:rPr>
  </w:style>
  <w:style w:type="paragraph" w:customStyle="1" w:styleId="TableHeader">
    <w:name w:val="Table Header"/>
    <w:basedOn w:val="Normal"/>
    <w:qFormat/>
    <w:rsid w:val="00987130"/>
    <w:pPr>
      <w:spacing w:after="0" w:line="240" w:lineRule="auto"/>
      <w:jc w:val="center"/>
    </w:pPr>
    <w:rPr>
      <w:rFonts w:eastAsia="Times New Roman" w:cs="Times New Roman"/>
      <w:b/>
      <w:sz w:val="20"/>
      <w:szCs w:val="20"/>
    </w:rPr>
  </w:style>
  <w:style w:type="paragraph" w:styleId="BlockText">
    <w:name w:val="Block Text"/>
    <w:basedOn w:val="Normal"/>
    <w:rsid w:val="00987130"/>
    <w:pPr>
      <w:spacing w:after="0" w:line="240" w:lineRule="auto"/>
      <w:ind w:left="720" w:right="720"/>
      <w:jc w:val="center"/>
    </w:pPr>
    <w:rPr>
      <w:rFonts w:eastAsia="Times New Roman" w:cs="Times New Roman"/>
      <w:sz w:val="20"/>
      <w:szCs w:val="20"/>
    </w:rPr>
  </w:style>
  <w:style w:type="character" w:customStyle="1" w:styleId="Heading2Char">
    <w:name w:val="Heading 2 Char"/>
    <w:basedOn w:val="DefaultParagraphFont"/>
    <w:link w:val="Heading2"/>
    <w:uiPriority w:val="9"/>
    <w:rsid w:val="00C326EF"/>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B289-5731-4C35-85DB-53417170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6194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Holbrook</dc:creator>
  <cp:keywords/>
  <dc:description/>
  <cp:lastModifiedBy>Michelle Sherman</cp:lastModifiedBy>
  <cp:revision>2</cp:revision>
  <dcterms:created xsi:type="dcterms:W3CDTF">2026-02-23T18:11:00Z</dcterms:created>
  <dcterms:modified xsi:type="dcterms:W3CDTF">2026-02-23T18:11:00Z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f50f69a6-3840-4a6b-9584-3a7651d4a1fb</vt:lpwstr>
  </property>
</Properties>
</file>