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CC49" w14:textId="065069BB" w:rsidR="00206E5A" w:rsidRDefault="000861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6:</w:t>
      </w:r>
    </w:p>
    <w:p w14:paraId="2DD046E0" w14:textId="77777777" w:rsidR="00F93114" w:rsidRPr="00F93114" w:rsidRDefault="00F93114" w:rsidP="00F9311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 xml:space="preserve">FSW's Approach to Student Learning and Criterion 3 </w:t>
      </w:r>
    </w:p>
    <w:p w14:paraId="2A3BC49C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FSW focuses on engaging students in varied learning experiences to develop critical thinking, creative work, and adaptable skills.</w:t>
      </w:r>
    </w:p>
    <w:p w14:paraId="51F26837" w14:textId="77777777" w:rsidR="00F93114" w:rsidRPr="00F93114" w:rsidRDefault="00F93114" w:rsidP="00F9311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 xml:space="preserve">The CREATIVE General Education Framework </w:t>
      </w:r>
    </w:p>
    <w:p w14:paraId="5B94F420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The CREATIVE general education framework outlines eight core competencies for all FSW students.</w:t>
      </w:r>
    </w:p>
    <w:p w14:paraId="7C6649E9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These competencies include communication, research, mathematical principles, art analysis, critical thinking, interdisciplinary applications, cultural awareness, and civic responsibility.</w:t>
      </w:r>
    </w:p>
    <w:p w14:paraId="7B2E6B20" w14:textId="77777777" w:rsidR="00F93114" w:rsidRPr="00F93114" w:rsidRDefault="00F93114" w:rsidP="00F9311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 xml:space="preserve">Technology Integration in Teaching and Learning </w:t>
      </w:r>
    </w:p>
    <w:p w14:paraId="3ED091A7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FSW integrates technology into teaching and learning through Canvas, computer labs, technology checkout programs, and eLearning support.</w:t>
      </w:r>
    </w:p>
    <w:p w14:paraId="62708437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FSW online has the most quality matters certified courses in the Florida College System.</w:t>
      </w:r>
    </w:p>
    <w:p w14:paraId="118D15F0" w14:textId="77777777" w:rsidR="00F93114" w:rsidRPr="00F93114" w:rsidRDefault="00F93114" w:rsidP="00F9311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 xml:space="preserve">Experiential Learning Opportunities </w:t>
      </w:r>
    </w:p>
    <w:p w14:paraId="6C8F5780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The college offers extensive experiential learning opportunities, including clinical experiences, internships, service learning, study abroad programs, and undergraduate research.</w:t>
      </w:r>
    </w:p>
    <w:p w14:paraId="521CB5FF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FSW uses active learning strategies to engage students.</w:t>
      </w:r>
    </w:p>
    <w:p w14:paraId="327ED214" w14:textId="77777777" w:rsidR="00F93114" w:rsidRPr="00F93114" w:rsidRDefault="00F93114" w:rsidP="00F9311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 xml:space="preserve">Co-curricular Activities and Student Support </w:t>
      </w:r>
    </w:p>
    <w:p w14:paraId="464E05F5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FSW provides co-curricular activities like guest speakers, field trips, and cultural events to enhance classroom learning.</w:t>
      </w:r>
    </w:p>
    <w:p w14:paraId="3A4766CA" w14:textId="77777777" w:rsidR="00F93114" w:rsidRPr="00F93114" w:rsidRDefault="00F93114" w:rsidP="00F9311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 xml:space="preserve">Information and Digital Literacy </w:t>
      </w:r>
    </w:p>
    <w:p w14:paraId="603F249A" w14:textId="77777777" w:rsidR="00F93114" w:rsidRPr="00F93114" w:rsidRDefault="00F93114" w:rsidP="00F93114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F93114">
        <w:rPr>
          <w:rFonts w:ascii="Calibri" w:hAnsi="Calibri" w:cs="Calibri"/>
          <w:sz w:val="22"/>
          <w:szCs w:val="22"/>
        </w:rPr>
        <w:t>Information and digital literacy are prioritized through library workshops, specialized research guides, and technology support services.</w:t>
      </w:r>
    </w:p>
    <w:p w14:paraId="2DB7974F" w14:textId="77777777" w:rsidR="00086132" w:rsidRPr="00086132" w:rsidRDefault="00086132">
      <w:pPr>
        <w:rPr>
          <w:rFonts w:ascii="Calibri" w:hAnsi="Calibri" w:cs="Calibri"/>
          <w:sz w:val="22"/>
          <w:szCs w:val="22"/>
        </w:rPr>
      </w:pPr>
    </w:p>
    <w:sectPr w:rsidR="00086132" w:rsidRPr="0008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F032C"/>
    <w:multiLevelType w:val="multilevel"/>
    <w:tmpl w:val="DFB4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0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32"/>
    <w:rsid w:val="00086132"/>
    <w:rsid w:val="00206E5A"/>
    <w:rsid w:val="00CA20F6"/>
    <w:rsid w:val="00CB18BB"/>
    <w:rsid w:val="00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E66E"/>
  <w15:chartTrackingRefBased/>
  <w15:docId w15:val="{8ECEDC99-EFE2-42C3-A14E-53AAA47C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1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66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2025-03-28T22:27:00Z</dcterms:created>
  <dcterms:modified xsi:type="dcterms:W3CDTF">2025-03-28T22:32:00Z</dcterms:modified>
</cp:coreProperties>
</file>