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E678ED">
        <w:rPr>
          <w:rStyle w:val="markedcontent"/>
          <w:rFonts w:ascii="Times New Roman" w:hAnsi="Times New Roman"/>
          <w:b/>
        </w:rPr>
        <w:t>SoBT Department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E678ED">
        <w:rPr>
          <w:rStyle w:val="markedcontent"/>
          <w:rFonts w:ascii="Times New Roman" w:hAnsi="Times New Roman"/>
          <w:b/>
        </w:rPr>
        <w:t>February 14,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678E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678E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B3B02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E678E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E678E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678ED" w:rsidRDefault="00E678E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Kimberly Egolf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678ED" w:rsidRDefault="00E678E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678ED" w:rsidRDefault="00E678E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678ED" w:rsidRDefault="00E678E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678E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678E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678E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6D7A9A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678E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 Djahankhah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Dorothy Thompson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Laurence Cacho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2653AC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2653A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A753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Michael Rubbinaccio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Nelson Villaverde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C2733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C2733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C27333" w:rsidRPr="002653AC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C27333" w:rsidRPr="002653AC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Pr="002653AC" w:rsidRDefault="002653A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2653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2653AC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2653AC" w:rsidRDefault="00554D51" w:rsidP="002653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2653AC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Pr="002653AC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2653AC" w:rsidRDefault="002653A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clear" w:color="auto" w:fill="D0CECE" w:themeFill="background2" w:themeFillShade="E6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2653AC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2653AC" w:rsidRDefault="002653AC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Peter Ocsody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2653A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Pr="002653A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653AC" w:rsidTr="002653AC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653AC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Ella Pipes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653AC" w:rsidRDefault="002653A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653AC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653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3A7530" w:rsidP="00FD5060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Crystal Wernicke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2653AC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2653AC" w:rsidRDefault="003A7530" w:rsidP="004575E1">
            <w:pPr>
              <w:rPr>
                <w:sz w:val="16"/>
                <w:szCs w:val="16"/>
              </w:rPr>
            </w:pPr>
            <w:r w:rsidRPr="002653AC"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2653AC" w:rsidRDefault="002653AC" w:rsidP="002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2653AC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Pr="002653AC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E678ED" w:rsidRDefault="00E678ED" w:rsidP="00E678ED">
      <w:pPr>
        <w:spacing w:after="160" w:line="259" w:lineRule="auto"/>
        <w:rPr>
          <w:rFonts w:ascii="Times New Roman" w:eastAsia="Calibri" w:hAnsi="Times New Roman"/>
          <w:b/>
        </w:rPr>
      </w:pPr>
    </w:p>
    <w:p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1PM.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E678ED" w:rsidRDefault="002653AC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Building K Grand Opening</w:t>
      </w:r>
    </w:p>
    <w:p w:rsidR="00E678ED" w:rsidRDefault="00E678ED" w:rsidP="00E678ED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Successful event – thank you to all who came</w:t>
      </w:r>
    </w:p>
    <w:p w:rsidR="00E678ED" w:rsidRDefault="00E678ED" w:rsidP="00E678E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Hire: Administrative Specialist</w:t>
      </w:r>
    </w:p>
    <w:p w:rsidR="00E678ED" w:rsidRDefault="00E678ED" w:rsidP="00E678ED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Kimberly Egolf: will have a faculty-centered role in SoBT</w:t>
      </w:r>
    </w:p>
    <w:p w:rsidR="00E678ED" w:rsidRDefault="00E678ED" w:rsidP="00E678E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ABA Re-Accreditation</w:t>
      </w:r>
    </w:p>
    <w:p w:rsidR="00E678ED" w:rsidRPr="00E678ED" w:rsidRDefault="00E678ED" w:rsidP="00E678ED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E678ED">
        <w:rPr>
          <w:rFonts w:ascii="Times New Roman" w:eastAsia="Calibri" w:hAnsi="Times New Roman"/>
        </w:rPr>
        <w:t xml:space="preserve">Successful site visit: we have been suggested for reapproval </w:t>
      </w:r>
    </w:p>
    <w:p w:rsidR="00E678ED" w:rsidRDefault="00E678ED" w:rsidP="00E678ED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E678ED">
        <w:rPr>
          <w:rFonts w:ascii="Times New Roman" w:eastAsia="Calibri" w:hAnsi="Times New Roman"/>
        </w:rPr>
        <w:t>Final reapproval to come in the following months</w:t>
      </w:r>
    </w:p>
    <w:p w:rsidR="00E678ED" w:rsidRDefault="00E678ED" w:rsidP="00E678E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State of the College</w:t>
      </w:r>
    </w:p>
    <w:p w:rsidR="00E678ED" w:rsidRDefault="00E678ED" w:rsidP="00E678ED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Duty Day: faculty/staff are expected to attend</w:t>
      </w:r>
    </w:p>
    <w:p w:rsidR="00E678ED" w:rsidRDefault="00E678ED" w:rsidP="00E678ED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submit a leave request if needed.</w:t>
      </w:r>
    </w:p>
    <w:p w:rsidR="00E678ED" w:rsidRDefault="00E678ED" w:rsidP="00E678ED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Topic will be focused on the HLC site visit in March/April</w:t>
      </w:r>
    </w:p>
    <w:p w:rsidR="00E678ED" w:rsidRDefault="00E678ED" w:rsidP="00E678ED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Professor Adam Davis mentioned that there might also be a canned food drive</w:t>
      </w:r>
    </w:p>
    <w:p w:rsidR="00E678ED" w:rsidRDefault="00E678ED" w:rsidP="00E678E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HLC Meeting &amp; Site Visit</w:t>
      </w:r>
    </w:p>
    <w:p w:rsidR="003C0D5F" w:rsidRDefault="00E678ED" w:rsidP="00E678E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 w:rsidRPr="00E678ED">
        <w:rPr>
          <w:rFonts w:ascii="Times New Roman" w:eastAsia="Calibri" w:hAnsi="Times New Roman"/>
        </w:rPr>
        <w:t>February 28</w:t>
      </w:r>
      <w:r w:rsidRPr="00E678ED">
        <w:rPr>
          <w:rFonts w:ascii="Times New Roman" w:eastAsia="Calibri" w:hAnsi="Times New Roman"/>
          <w:vertAlign w:val="superscript"/>
        </w:rPr>
        <w:t>th</w:t>
      </w:r>
      <w:r w:rsidRPr="00E678ED">
        <w:rPr>
          <w:rFonts w:ascii="Times New Roman" w:eastAsia="Calibri" w:hAnsi="Times New Roman"/>
        </w:rPr>
        <w:t xml:space="preserve"> HLC Meeting: </w:t>
      </w:r>
      <w:r>
        <w:rPr>
          <w:rFonts w:ascii="Times New Roman" w:eastAsia="Calibri" w:hAnsi="Times New Roman"/>
        </w:rPr>
        <w:t xml:space="preserve">Mandatory attendance either on Lee campus or in one of the Zoom rooms on another campus. </w:t>
      </w:r>
    </w:p>
    <w:p w:rsidR="00E678ED" w:rsidRDefault="00E678ED" w:rsidP="003C0D5F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>No Zoom links are available</w:t>
      </w:r>
      <w:r w:rsidR="003C0D5F">
        <w:rPr>
          <w:rFonts w:ascii="Times New Roman" w:eastAsia="Calibri" w:hAnsi="Times New Roman"/>
        </w:rPr>
        <w:t>. Leave must be taken if you cannot attend.</w:t>
      </w:r>
    </w:p>
    <w:p w:rsidR="00E678ED" w:rsidRDefault="00E678ED" w:rsidP="00E678E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Site Visit is March 31 – April 1; further details about attending will be shared at the Feb 28</w:t>
      </w:r>
      <w:r w:rsidRPr="00E678ED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 xml:space="preserve"> information sessions.</w:t>
      </w:r>
    </w:p>
    <w:p w:rsidR="00E678ED" w:rsidRDefault="00E678ED" w:rsidP="00E678ED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Student clubs are encouraged to attend the </w:t>
      </w:r>
      <w:r w:rsidR="00F82FCB">
        <w:rPr>
          <w:rFonts w:ascii="Times New Roman" w:eastAsia="Calibri" w:hAnsi="Times New Roman"/>
        </w:rPr>
        <w:t xml:space="preserve">site visit </w:t>
      </w:r>
      <w:r>
        <w:rPr>
          <w:rFonts w:ascii="Times New Roman" w:eastAsia="Calibri" w:hAnsi="Times New Roman"/>
        </w:rPr>
        <w:t xml:space="preserve">session on March </w:t>
      </w:r>
      <w:r w:rsidR="003A7530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 xml:space="preserve">1. </w:t>
      </w:r>
    </w:p>
    <w:p w:rsidR="003A7530" w:rsidRDefault="003A7530" w:rsidP="003A753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On Campus Clinic</w:t>
      </w:r>
    </w:p>
    <w:p w:rsidR="003A7530" w:rsidRDefault="003A7530" w:rsidP="003A753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Professor Mark Snyder asked about any clinics on campus—there is not. </w:t>
      </w:r>
    </w:p>
    <w:p w:rsidR="003A7530" w:rsidRPr="003A7530" w:rsidRDefault="003A7530" w:rsidP="003A7530">
      <w:pPr>
        <w:spacing w:after="160" w:line="259" w:lineRule="auto"/>
        <w:rPr>
          <w:rFonts w:ascii="Times New Roman" w:eastAsia="Calibri" w:hAnsi="Times New Roman"/>
          <w:b/>
        </w:rPr>
      </w:pPr>
      <w:r w:rsidRPr="003A7530">
        <w:rPr>
          <w:rFonts w:ascii="Times New Roman" w:eastAsia="Calibri" w:hAnsi="Times New Roman"/>
          <w:b/>
        </w:rPr>
        <w:t>FSW Basketball Game</w:t>
      </w:r>
    </w:p>
    <w:p w:rsidR="003A7530" w:rsidRDefault="003A7530" w:rsidP="003A753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Today is the last day to RSVP</w:t>
      </w:r>
    </w:p>
    <w:p w:rsidR="003A7530" w:rsidRDefault="003A7530" w:rsidP="003A753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Commencement</w:t>
      </w:r>
    </w:p>
    <w:p w:rsidR="003A7530" w:rsidRDefault="003A7530" w:rsidP="003A753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There will be 3 ceremonies, SoBT’s time is not yet confirmed but should be soon.</w:t>
      </w:r>
    </w:p>
    <w:p w:rsidR="003A7530" w:rsidRPr="003A7530" w:rsidRDefault="003A7530" w:rsidP="003A753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Tickets will be given to student (5 each).</w:t>
      </w:r>
    </w:p>
    <w:p w:rsidR="00E678ED" w:rsidRDefault="002653AC" w:rsidP="00E678E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Department Topics</w:t>
      </w:r>
    </w:p>
    <w:p w:rsidR="002653AC" w:rsidRDefault="002653AC" w:rsidP="002653AC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Textbook: Every section of a course must use the same book.</w:t>
      </w:r>
    </w:p>
    <w:p w:rsidR="002653AC" w:rsidRDefault="002653AC" w:rsidP="002653AC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Adoptions are due by 4/15</w:t>
      </w:r>
    </w:p>
    <w:p w:rsidR="002653AC" w:rsidRDefault="002653AC" w:rsidP="002653AC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Program Outcomes: must be completed and submitted to the curriculum committee as an Information Item.</w:t>
      </w:r>
    </w:p>
    <w:p w:rsidR="002653AC" w:rsidRDefault="002653AC" w:rsidP="002653AC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</w:p>
    <w:p w:rsidR="002653AC" w:rsidRDefault="002653AC" w:rsidP="002653AC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 Development/Updates: Please discuss with your chair and they chair will send the list forward. Please provide rationale for the update.</w:t>
      </w:r>
    </w:p>
    <w:p w:rsidR="002653AC" w:rsidRDefault="002653AC" w:rsidP="002653AC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</w:p>
    <w:p w:rsidR="002653AC" w:rsidRDefault="002653AC" w:rsidP="002653AC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 Gen Ed Outcomes: Course Outcomes must be revisited and updated for every course.</w:t>
      </w:r>
    </w:p>
    <w:p w:rsidR="002653AC" w:rsidRDefault="002653AC" w:rsidP="002653AC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653AC" w:rsidRDefault="002653AC" w:rsidP="002653AC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Student Concerns</w:t>
      </w:r>
    </w:p>
    <w:p w:rsidR="002653AC" w:rsidRDefault="002653AC" w:rsidP="002653AC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If you are encountered by and outside law agency, call Public Safety</w:t>
      </w:r>
      <w:r w:rsidR="002D6540">
        <w:rPr>
          <w:rFonts w:ascii="Times New Roman" w:eastAsia="Calibri" w:hAnsi="Times New Roman"/>
        </w:rPr>
        <w:t>.</w:t>
      </w:r>
    </w:p>
    <w:p w:rsidR="002D6540" w:rsidRDefault="002D6540" w:rsidP="002653AC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submit a Buc Cares services form for ANY students needing assistance with a variety of struggles (housing, mental health, etc.).</w:t>
      </w:r>
    </w:p>
    <w:p w:rsidR="002D6540" w:rsidRDefault="002D6540" w:rsidP="002D654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Study Abroad</w:t>
      </w:r>
    </w:p>
    <w:p w:rsidR="002D6540" w:rsidRDefault="002D6540" w:rsidP="002D6540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Criminal Justice and Entrepreneurship will be going abroad</w:t>
      </w:r>
    </w:p>
    <w:p w:rsidR="002D6540" w:rsidRDefault="002D6540" w:rsidP="002D6540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are looking to expand the opportunity to our other departments in the near future</w:t>
      </w:r>
    </w:p>
    <w:p w:rsidR="002D6540" w:rsidRDefault="002D6540" w:rsidP="002D654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VITA Tax Events</w:t>
      </w:r>
    </w:p>
    <w:p w:rsidR="002D6540" w:rsidRDefault="002D6540" w:rsidP="002D654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 w:rsidRPr="002D6540">
        <w:rPr>
          <w:rFonts w:ascii="Times New Roman" w:eastAsia="Calibri" w:hAnsi="Times New Roman"/>
        </w:rPr>
        <w:t>FREE Tax Prep with United Way, organized by Professor William Van Glabek</w:t>
      </w:r>
    </w:p>
    <w:p w:rsidR="002D6540" w:rsidRPr="002D6540" w:rsidRDefault="002D6540" w:rsidP="002D654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Link to be shared with the meeting minutes</w:t>
      </w:r>
    </w:p>
    <w:p w:rsidR="002D6540" w:rsidRDefault="002D6540" w:rsidP="002D6540">
      <w:pPr>
        <w:pStyle w:val="ListParagraph"/>
        <w:numPr>
          <w:ilvl w:val="1"/>
          <w:numId w:val="27"/>
        </w:numPr>
        <w:spacing w:after="160" w:line="259" w:lineRule="auto"/>
        <w:rPr>
          <w:rFonts w:ascii="Times New Roman" w:eastAsia="Calibri" w:hAnsi="Times New Roman"/>
        </w:rPr>
        <w:sectPr w:rsidR="002D6540" w:rsidSect="004837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D6540" w:rsidRDefault="002D6540" w:rsidP="002D6540">
      <w:pPr>
        <w:pStyle w:val="ListParagraph"/>
        <w:numPr>
          <w:ilvl w:val="1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Collier: March 4</w:t>
      </w:r>
    </w:p>
    <w:p w:rsidR="002D6540" w:rsidRDefault="002D6540" w:rsidP="002D6540">
      <w:pPr>
        <w:pStyle w:val="ListParagraph"/>
        <w:numPr>
          <w:ilvl w:val="1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H/G: Mar 11</w:t>
      </w:r>
    </w:p>
    <w:p w:rsidR="002D6540" w:rsidRDefault="002D6540" w:rsidP="002D6540">
      <w:pPr>
        <w:pStyle w:val="ListParagraph"/>
        <w:numPr>
          <w:ilvl w:val="1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Charlotte: Mar 12</w:t>
      </w:r>
    </w:p>
    <w:p w:rsidR="002D6540" w:rsidRDefault="002D6540" w:rsidP="002D6540">
      <w:pPr>
        <w:pStyle w:val="ListParagraph"/>
        <w:numPr>
          <w:ilvl w:val="1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Lee: Mar 13</w:t>
      </w:r>
    </w:p>
    <w:p w:rsidR="002D6540" w:rsidRDefault="002D6540" w:rsidP="002D6540">
      <w:pPr>
        <w:spacing w:after="160" w:line="259" w:lineRule="auto"/>
        <w:rPr>
          <w:rFonts w:ascii="Times New Roman" w:eastAsia="Calibri" w:hAnsi="Times New Roman"/>
          <w:b/>
        </w:rPr>
        <w:sectPr w:rsidR="002D6540" w:rsidSect="002D65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D6540" w:rsidRDefault="002D6540" w:rsidP="002D6540">
      <w:pPr>
        <w:spacing w:after="160" w:line="259" w:lineRule="auto"/>
        <w:rPr>
          <w:rFonts w:ascii="Times New Roman" w:eastAsia="Calibri" w:hAnsi="Times New Roman"/>
          <w:b/>
        </w:rPr>
      </w:pPr>
    </w:p>
    <w:p w:rsidR="002D6540" w:rsidRDefault="002D6540" w:rsidP="002D654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Calendars</w:t>
      </w:r>
    </w:p>
    <w:p w:rsidR="002D6540" w:rsidRDefault="002D6540" w:rsidP="002D6540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2025-26 Academic Calendar will be dispersed soon</w:t>
      </w:r>
    </w:p>
    <w:p w:rsidR="002D6540" w:rsidRDefault="002D6540" w:rsidP="002D6540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Significant change to Add/Drop has been made</w:t>
      </w:r>
    </w:p>
    <w:p w:rsidR="002D6540" w:rsidRDefault="002D6540" w:rsidP="002D6540">
      <w:pPr>
        <w:pStyle w:val="ListParagraph"/>
        <w:numPr>
          <w:ilvl w:val="1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will need to be mindful and make students aware</w:t>
      </w:r>
    </w:p>
    <w:p w:rsidR="009379AA" w:rsidRDefault="009379AA" w:rsidP="009379AA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 study days in Fall 2025</w:t>
      </w:r>
    </w:p>
    <w:p w:rsidR="009379AA" w:rsidRDefault="009379AA" w:rsidP="009379AA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Chair Elections</w:t>
      </w:r>
    </w:p>
    <w:p w:rsidR="009379AA" w:rsidRPr="009379AA" w:rsidRDefault="009379AA" w:rsidP="009379AA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eastAsia="Calibri" w:hAnsi="Times New Roman"/>
        </w:rPr>
      </w:pPr>
      <w:r w:rsidRPr="009379AA">
        <w:rPr>
          <w:rFonts w:ascii="Times New Roman" w:eastAsia="Calibri" w:hAnsi="Times New Roman"/>
        </w:rPr>
        <w:t>Paralegal/Arch/Civil: Matthew Hoffman</w:t>
      </w:r>
    </w:p>
    <w:p w:rsidR="009379AA" w:rsidRPr="009379AA" w:rsidRDefault="009379AA" w:rsidP="009379AA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eastAsia="Calibri" w:hAnsi="Times New Roman"/>
        </w:rPr>
      </w:pPr>
      <w:r w:rsidRPr="009379AA">
        <w:rPr>
          <w:rFonts w:ascii="Times New Roman" w:eastAsia="Calibri" w:hAnsi="Times New Roman"/>
        </w:rPr>
        <w:t xml:space="preserve">Business/Accounting: </w:t>
      </w:r>
      <w:r>
        <w:rPr>
          <w:rFonts w:ascii="Times New Roman" w:eastAsia="Calibri" w:hAnsi="Times New Roman"/>
        </w:rPr>
        <w:t>Alisa Callahan</w:t>
      </w:r>
    </w:p>
    <w:p w:rsidR="009379AA" w:rsidRPr="009379AA" w:rsidRDefault="009379AA" w:rsidP="009379AA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eastAsia="Calibri" w:hAnsi="Times New Roman"/>
        </w:rPr>
      </w:pPr>
      <w:r w:rsidRPr="009379AA">
        <w:rPr>
          <w:rFonts w:ascii="Times New Roman" w:eastAsia="Calibri" w:hAnsi="Times New Roman"/>
        </w:rPr>
        <w:t xml:space="preserve">Criminal Justice/Public Safety: </w:t>
      </w:r>
      <w:r>
        <w:rPr>
          <w:rFonts w:ascii="Times New Roman" w:eastAsia="Calibri" w:hAnsi="Times New Roman"/>
        </w:rPr>
        <w:t>Brian O’Reilly</w:t>
      </w:r>
    </w:p>
    <w:p w:rsidR="009379AA" w:rsidRPr="009379AA" w:rsidRDefault="009379AA" w:rsidP="009379AA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eastAsia="Calibri" w:hAnsi="Times New Roman"/>
        </w:rPr>
      </w:pPr>
      <w:r w:rsidRPr="009379AA">
        <w:rPr>
          <w:rFonts w:ascii="Times New Roman" w:eastAsia="Calibri" w:hAnsi="Times New Roman"/>
        </w:rPr>
        <w:t xml:space="preserve">Computer Science: </w:t>
      </w:r>
      <w:r>
        <w:rPr>
          <w:rFonts w:ascii="Times New Roman" w:eastAsia="Calibri" w:hAnsi="Times New Roman"/>
        </w:rPr>
        <w:t>George Kodsey</w:t>
      </w:r>
    </w:p>
    <w:p w:rsidR="002D6540" w:rsidRPr="002D6540" w:rsidRDefault="002D6540" w:rsidP="002D6540">
      <w:pPr>
        <w:spacing w:after="160" w:line="259" w:lineRule="auto"/>
        <w:rPr>
          <w:rFonts w:ascii="Times New Roman" w:eastAsia="Calibri" w:hAnsi="Times New Roman"/>
          <w:b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E678ED">
        <w:rPr>
          <w:rFonts w:ascii="Times New Roman" w:eastAsia="Calibri" w:hAnsi="Times New Roman"/>
        </w:rPr>
        <w:t xml:space="preserve">2PM.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13"/>
  </w:num>
  <w:num w:numId="5">
    <w:abstractNumId w:val="21"/>
  </w:num>
  <w:num w:numId="6">
    <w:abstractNumId w:val="17"/>
  </w:num>
  <w:num w:numId="7">
    <w:abstractNumId w:val="27"/>
  </w:num>
  <w:num w:numId="8">
    <w:abstractNumId w:val="7"/>
  </w:num>
  <w:num w:numId="9">
    <w:abstractNumId w:val="18"/>
  </w:num>
  <w:num w:numId="10">
    <w:abstractNumId w:val="0"/>
  </w:num>
  <w:num w:numId="11">
    <w:abstractNumId w:val="24"/>
  </w:num>
  <w:num w:numId="12">
    <w:abstractNumId w:val="3"/>
  </w:num>
  <w:num w:numId="13">
    <w:abstractNumId w:val="1"/>
  </w:num>
  <w:num w:numId="14">
    <w:abstractNumId w:val="28"/>
  </w:num>
  <w:num w:numId="15">
    <w:abstractNumId w:val="26"/>
  </w:num>
  <w:num w:numId="16">
    <w:abstractNumId w:val="5"/>
  </w:num>
  <w:num w:numId="17">
    <w:abstractNumId w:val="25"/>
  </w:num>
  <w:num w:numId="18">
    <w:abstractNumId w:val="16"/>
  </w:num>
  <w:num w:numId="19">
    <w:abstractNumId w:val="10"/>
  </w:num>
  <w:num w:numId="20">
    <w:abstractNumId w:val="11"/>
  </w:num>
  <w:num w:numId="21">
    <w:abstractNumId w:val="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  <w:num w:numId="27">
    <w:abstractNumId w:val="2"/>
  </w:num>
  <w:num w:numId="28">
    <w:abstractNumId w:val="19"/>
  </w:num>
  <w:num w:numId="29">
    <w:abstractNumId w:val="2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53AC"/>
    <w:rsid w:val="0026702F"/>
    <w:rsid w:val="0028504F"/>
    <w:rsid w:val="002852AC"/>
    <w:rsid w:val="00286BD7"/>
    <w:rsid w:val="002D6540"/>
    <w:rsid w:val="002F19AA"/>
    <w:rsid w:val="00301100"/>
    <w:rsid w:val="00334E0F"/>
    <w:rsid w:val="00377DF0"/>
    <w:rsid w:val="003A0C7B"/>
    <w:rsid w:val="003A7530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709BA"/>
    <w:rsid w:val="007B3B02"/>
    <w:rsid w:val="007F7B02"/>
    <w:rsid w:val="00811391"/>
    <w:rsid w:val="00882648"/>
    <w:rsid w:val="00902EF1"/>
    <w:rsid w:val="009153C1"/>
    <w:rsid w:val="009360BE"/>
    <w:rsid w:val="009379AA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678ED"/>
    <w:rsid w:val="00E8553F"/>
    <w:rsid w:val="00E936F3"/>
    <w:rsid w:val="00EA274E"/>
    <w:rsid w:val="00F174DB"/>
    <w:rsid w:val="00F543BC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DB4F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3</cp:revision>
  <cp:lastPrinted>2023-08-16T16:44:00Z</cp:lastPrinted>
  <dcterms:created xsi:type="dcterms:W3CDTF">2025-02-14T18:01:00Z</dcterms:created>
  <dcterms:modified xsi:type="dcterms:W3CDTF">2025-02-28T16:53:00Z</dcterms:modified>
</cp:coreProperties>
</file>