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0D83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Meeting Minutes - Biological Sciences Department</w:t>
      </w:r>
    </w:p>
    <w:p w14:paraId="54F8BC30" w14:textId="77777777" w:rsidR="002522B9" w:rsidRDefault="00DB4BD8" w:rsidP="002522B9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 xml:space="preserve">Date: </w:t>
      </w:r>
      <w:r w:rsidR="002522B9" w:rsidRPr="00954C12">
        <w:rPr>
          <w:rFonts w:ascii="Calibri" w:hAnsi="Calibri" w:cs="Calibri"/>
          <w:sz w:val="20"/>
          <w:szCs w:val="20"/>
        </w:rPr>
        <w:t>Friday, April 12, 2024</w:t>
      </w:r>
    </w:p>
    <w:p w14:paraId="795D9E4B" w14:textId="178E8C60" w:rsidR="002522B9" w:rsidRDefault="002522B9" w:rsidP="002522B9">
      <w:pPr>
        <w:rPr>
          <w:rFonts w:ascii="Calibri" w:hAnsi="Calibri" w:cs="Calibri"/>
          <w:sz w:val="20"/>
          <w:szCs w:val="20"/>
        </w:rPr>
      </w:pPr>
      <w:r w:rsidRPr="00954C12">
        <w:rPr>
          <w:rFonts w:ascii="Calibri" w:hAnsi="Calibri" w:cs="Calibri"/>
          <w:sz w:val="20"/>
          <w:szCs w:val="20"/>
        </w:rPr>
        <w:t>Via Zoom</w:t>
      </w:r>
    </w:p>
    <w:p w14:paraId="43A363DD" w14:textId="37F71AE2" w:rsidR="00DF3353" w:rsidRPr="00B76BF2" w:rsidRDefault="00DF3353" w:rsidP="00B76BF2">
      <w:pPr>
        <w:rPr>
          <w:sz w:val="20"/>
          <w:szCs w:val="20"/>
        </w:rPr>
      </w:pPr>
      <w:r w:rsidRPr="00B76BF2">
        <w:rPr>
          <w:sz w:val="20"/>
          <w:szCs w:val="20"/>
        </w:rPr>
        <w:t xml:space="preserve">Attending: </w:t>
      </w:r>
      <w:r w:rsidR="00B76BF2" w:rsidRPr="00B76BF2">
        <w:rPr>
          <w:sz w:val="20"/>
          <w:szCs w:val="20"/>
        </w:rPr>
        <w:t>Gerald Anzalone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Alison Blanco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Ronald Burton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Jordan Donini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Gabriel Gaidos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Lisa Hermann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Roland Hodges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George Hooks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Rozalind Jester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 xml:space="preserve">Helena </w:t>
      </w:r>
      <w:proofErr w:type="spellStart"/>
      <w:r w:rsidR="00B76BF2" w:rsidRPr="00B76BF2">
        <w:rPr>
          <w:sz w:val="20"/>
          <w:szCs w:val="20"/>
        </w:rPr>
        <w:t>Kashleva</w:t>
      </w:r>
      <w:proofErr w:type="spellEnd"/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Joseph Kirkley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Katrin Koel-Abt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Jay Koepke</w:t>
      </w:r>
      <w:r w:rsidR="00B76BF2" w:rsidRPr="00B76BF2">
        <w:rPr>
          <w:sz w:val="20"/>
          <w:szCs w:val="20"/>
        </w:rPr>
        <w:t>, C</w:t>
      </w:r>
      <w:r w:rsidR="00B76BF2" w:rsidRPr="00B76BF2">
        <w:rPr>
          <w:sz w:val="20"/>
          <w:szCs w:val="20"/>
        </w:rPr>
        <w:t>orey Lehigh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Amy Lehigh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 xml:space="preserve">Nina </w:t>
      </w:r>
      <w:proofErr w:type="spellStart"/>
      <w:r w:rsidR="00B76BF2" w:rsidRPr="00B76BF2">
        <w:rPr>
          <w:sz w:val="20"/>
          <w:szCs w:val="20"/>
        </w:rPr>
        <w:t>Lichvarik</w:t>
      </w:r>
      <w:proofErr w:type="spellEnd"/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Mitchell Lucas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Ann Mantell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Gregg Mason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Elimelec Medina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Lisa Pickell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Emily Porter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Oscar Rattenborg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Judy Robinson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Peggy Romeo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 xml:space="preserve">Esmaeel </w:t>
      </w:r>
      <w:proofErr w:type="spellStart"/>
      <w:r w:rsidR="00B76BF2" w:rsidRPr="00B76BF2">
        <w:rPr>
          <w:sz w:val="20"/>
          <w:szCs w:val="20"/>
        </w:rPr>
        <w:t>Samaliazad</w:t>
      </w:r>
      <w:proofErr w:type="spellEnd"/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Michael Sauer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Jessica Slisher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Melanie Ulrich</w:t>
      </w:r>
      <w:r w:rsidR="00B76BF2" w:rsidRPr="00B76BF2">
        <w:rPr>
          <w:sz w:val="20"/>
          <w:szCs w:val="20"/>
        </w:rPr>
        <w:t xml:space="preserve">, </w:t>
      </w:r>
      <w:proofErr w:type="spellStart"/>
      <w:r w:rsidR="00B76BF2" w:rsidRPr="00B76BF2">
        <w:rPr>
          <w:sz w:val="20"/>
          <w:szCs w:val="20"/>
        </w:rPr>
        <w:t>Tejendrasinh</w:t>
      </w:r>
      <w:proofErr w:type="spellEnd"/>
      <w:r w:rsidR="00B76BF2" w:rsidRPr="00B76BF2">
        <w:rPr>
          <w:sz w:val="20"/>
          <w:szCs w:val="20"/>
        </w:rPr>
        <w:t xml:space="preserve"> Vala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Vera Verga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Michael Witty</w:t>
      </w:r>
      <w:r w:rsidR="00B76BF2" w:rsidRPr="00B76BF2">
        <w:rPr>
          <w:sz w:val="20"/>
          <w:szCs w:val="20"/>
        </w:rPr>
        <w:t xml:space="preserve">, </w:t>
      </w:r>
      <w:r w:rsidR="00B76BF2" w:rsidRPr="00B76BF2">
        <w:rPr>
          <w:sz w:val="20"/>
          <w:szCs w:val="20"/>
        </w:rPr>
        <w:t>Amanda Zirzow</w:t>
      </w:r>
    </w:p>
    <w:p w14:paraId="374D2E6F" w14:textId="0376EE02" w:rsidR="00DB4BD8" w:rsidRPr="00DB4BD8" w:rsidRDefault="002522B9" w:rsidP="00DB4B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Agenda Items:</w:t>
      </w:r>
    </w:p>
    <w:p w14:paraId="26FB3BFB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1. Course-Level Assessment:</w:t>
      </w:r>
    </w:p>
    <w:p w14:paraId="0F38D5FE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purpose of course-level assessments as tools for instructional improvement and enhanced learning environments was discussed.</w:t>
      </w:r>
    </w:p>
    <w:p w14:paraId="12762188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Emphasis was placed on faculty documentation of action steps based on assessment data.</w:t>
      </w:r>
    </w:p>
    <w:p w14:paraId="58F110FB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Supporting documentation and slides were provided to faculty.</w:t>
      </w:r>
    </w:p>
    <w:p w14:paraId="33255E54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Faculty engaged in discussions regarding assessment information, response strategies, and documentation of action steps.</w:t>
      </w:r>
    </w:p>
    <w:p w14:paraId="3BA07AA2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importance of course-level assessment for accreditation was noted.</w:t>
      </w:r>
    </w:p>
    <w:p w14:paraId="168D6295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Faculty questions were addressed.</w:t>
      </w:r>
    </w:p>
    <w:p w14:paraId="490BBDC7" w14:textId="77777777" w:rsidR="00DB4BD8" w:rsidRPr="00DB4BD8" w:rsidRDefault="00DB4BD8" w:rsidP="00DB4BD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Faculty demonstrated improved understanding of course-level assessment purpose and utilization.</w:t>
      </w:r>
    </w:p>
    <w:p w14:paraId="627C585A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2. Community of Best Practices (</w:t>
      </w:r>
      <w:proofErr w:type="spellStart"/>
      <w:r w:rsidRPr="00DB4BD8">
        <w:rPr>
          <w:rFonts w:ascii="Calibri" w:hAnsi="Calibri" w:cs="Calibri"/>
          <w:sz w:val="20"/>
          <w:szCs w:val="20"/>
        </w:rPr>
        <w:t>CoBP</w:t>
      </w:r>
      <w:proofErr w:type="spellEnd"/>
      <w:r w:rsidRPr="00DB4BD8">
        <w:rPr>
          <w:rFonts w:ascii="Calibri" w:hAnsi="Calibri" w:cs="Calibri"/>
          <w:sz w:val="20"/>
          <w:szCs w:val="20"/>
        </w:rPr>
        <w:t>):</w:t>
      </w:r>
    </w:p>
    <w:p w14:paraId="57566576" w14:textId="77777777" w:rsidR="00DB4BD8" w:rsidRPr="00DB4BD8" w:rsidRDefault="00DB4BD8" w:rsidP="00DB4BD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 xml:space="preserve">The establishment of a </w:t>
      </w:r>
      <w:proofErr w:type="spellStart"/>
      <w:r w:rsidRPr="00DB4BD8">
        <w:rPr>
          <w:rFonts w:ascii="Calibri" w:hAnsi="Calibri" w:cs="Calibri"/>
          <w:sz w:val="20"/>
          <w:szCs w:val="20"/>
        </w:rPr>
        <w:t>CoBP</w:t>
      </w:r>
      <w:proofErr w:type="spellEnd"/>
      <w:r w:rsidRPr="00DB4BD8">
        <w:rPr>
          <w:rFonts w:ascii="Calibri" w:hAnsi="Calibri" w:cs="Calibri"/>
          <w:sz w:val="20"/>
          <w:szCs w:val="20"/>
        </w:rPr>
        <w:t xml:space="preserve"> for science faculty professional development and sharing of best practices was discussed.</w:t>
      </w:r>
    </w:p>
    <w:p w14:paraId="287F47DF" w14:textId="77777777" w:rsidR="00DB4BD8" w:rsidRPr="00DB4BD8" w:rsidRDefault="00DB4BD8" w:rsidP="00DB4BD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Two faculty members volunteered for Chairperson and Co-Chairperson positions.</w:t>
      </w:r>
    </w:p>
    <w:p w14:paraId="35F4EDFC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3. Canvas and Simple Syllabus Support:</w:t>
      </w:r>
    </w:p>
    <w:p w14:paraId="105AAA53" w14:textId="77777777" w:rsidR="00DB4BD8" w:rsidRPr="00DB4BD8" w:rsidRDefault="00DB4BD8" w:rsidP="00DB4BD8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Support links were provided.</w:t>
      </w:r>
    </w:p>
    <w:p w14:paraId="0144FA76" w14:textId="77777777" w:rsidR="00DB4BD8" w:rsidRPr="00DB4BD8" w:rsidRDefault="00DB4BD8" w:rsidP="00DB4BD8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Faculty were requested to promptly submit syllabi for approval.</w:t>
      </w:r>
    </w:p>
    <w:p w14:paraId="4E493F35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4. Master Course Shell Updates:</w:t>
      </w:r>
    </w:p>
    <w:p w14:paraId="6B0AB2E3" w14:textId="77777777" w:rsidR="00DB4BD8" w:rsidRPr="00DB4BD8" w:rsidRDefault="00DB4BD8" w:rsidP="00DB4BD8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BSC1085C course shell has been updated. The BSC 1086C course shell is nearing completion.</w:t>
      </w:r>
    </w:p>
    <w:p w14:paraId="147DA395" w14:textId="77777777" w:rsidR="00DB4BD8" w:rsidRPr="00DB4BD8" w:rsidRDefault="00DB4BD8" w:rsidP="00DB4BD8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BSC 1005 shell can be requested through eLearning.</w:t>
      </w:r>
    </w:p>
    <w:p w14:paraId="32F93B02" w14:textId="77777777" w:rsidR="00DB4BD8" w:rsidRPr="00DB4BD8" w:rsidRDefault="00DB4BD8" w:rsidP="00DB4BD8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proofErr w:type="spellStart"/>
      <w:r w:rsidRPr="00DB4BD8">
        <w:rPr>
          <w:rFonts w:ascii="Calibri" w:hAnsi="Calibri" w:cs="Calibri"/>
          <w:sz w:val="20"/>
          <w:szCs w:val="20"/>
        </w:rPr>
        <w:t>SoftChalk</w:t>
      </w:r>
      <w:proofErr w:type="spellEnd"/>
      <w:r w:rsidRPr="00DB4BD8">
        <w:rPr>
          <w:rFonts w:ascii="Calibri" w:hAnsi="Calibri" w:cs="Calibri"/>
          <w:sz w:val="20"/>
          <w:szCs w:val="20"/>
        </w:rPr>
        <w:t xml:space="preserve"> will be available in course shells for the summer term only. An alternative modality will be used in the fall.</w:t>
      </w:r>
    </w:p>
    <w:p w14:paraId="1E599831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5. Faculty Mentor Checklists:</w:t>
      </w:r>
    </w:p>
    <w:p w14:paraId="6E3048D2" w14:textId="77777777" w:rsidR="00DB4BD8" w:rsidRPr="00DB4BD8" w:rsidRDefault="00DB4BD8" w:rsidP="00DB4BD8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lastRenderedPageBreak/>
        <w:t>Faculty were reminded to submit Faculty Mentor Checklists to both the TLC and designated personnel after completing adjunct faculty classroom observations. These checklists serve as documentation for stipend processing.</w:t>
      </w:r>
    </w:p>
    <w:p w14:paraId="4D6682E5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6. Faculty Expert Media Panel:</w:t>
      </w:r>
    </w:p>
    <w:p w14:paraId="70B86687" w14:textId="77777777" w:rsidR="00DB4BD8" w:rsidRPr="00DB4BD8" w:rsidRDefault="00DB4BD8" w:rsidP="00DB4BD8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re-establishment of a faculty expert media panel was announced.</w:t>
      </w:r>
    </w:p>
    <w:p w14:paraId="6D4232FD" w14:textId="77777777" w:rsidR="00DB4BD8" w:rsidRPr="00DB4BD8" w:rsidRDefault="00DB4BD8" w:rsidP="00DB4BD8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Interested faculty were asked to update their background details on the FSW Knowledge Network webpage and contact marketing personnel.</w:t>
      </w:r>
    </w:p>
    <w:p w14:paraId="1FAB0E1F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7. Open Floor:</w:t>
      </w:r>
    </w:p>
    <w:p w14:paraId="004978A2" w14:textId="77777777" w:rsidR="00DB4BD8" w:rsidRPr="00DB4BD8" w:rsidRDefault="00DB4BD8" w:rsidP="00DB4BD8">
      <w:pPr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No additional concerns, questions, or comments were raised.</w:t>
      </w:r>
    </w:p>
    <w:p w14:paraId="1DA58943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8. Next Meeting:</w:t>
      </w:r>
    </w:p>
    <w:p w14:paraId="728FA1D6" w14:textId="77777777" w:rsidR="00DB4BD8" w:rsidRPr="00DB4BD8" w:rsidRDefault="00DB4BD8" w:rsidP="00DB4BD8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The next department faculty meeting will be held on the second Friday of the fall term at the same time.</w:t>
      </w:r>
    </w:p>
    <w:p w14:paraId="0B407672" w14:textId="77777777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Meeting Adjournment: 2:00 p.m.</w:t>
      </w:r>
    </w:p>
    <w:p w14:paraId="430CB5E0" w14:textId="41DF618E" w:rsidR="00DB4BD8" w:rsidRPr="00DB4BD8" w:rsidRDefault="00DB4BD8" w:rsidP="00DB4BD8">
      <w:pPr>
        <w:rPr>
          <w:rFonts w:ascii="Calibri" w:hAnsi="Calibri" w:cs="Calibri"/>
          <w:sz w:val="20"/>
          <w:szCs w:val="20"/>
        </w:rPr>
      </w:pPr>
      <w:r w:rsidRPr="00DB4BD8">
        <w:rPr>
          <w:rFonts w:ascii="Calibri" w:hAnsi="Calibri" w:cs="Calibri"/>
          <w:sz w:val="20"/>
          <w:szCs w:val="20"/>
        </w:rPr>
        <w:t>Minutes Recorded By: GA</w:t>
      </w:r>
    </w:p>
    <w:sectPr w:rsidR="00DB4BD8" w:rsidRPr="00DB4B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5F6E" w14:textId="77777777" w:rsidR="00C30BC2" w:rsidRDefault="00C30BC2" w:rsidP="00C30BC2">
      <w:pPr>
        <w:spacing w:after="0" w:line="240" w:lineRule="auto"/>
      </w:pPr>
      <w:r>
        <w:separator/>
      </w:r>
    </w:p>
  </w:endnote>
  <w:endnote w:type="continuationSeparator" w:id="0">
    <w:p w14:paraId="47D71527" w14:textId="77777777" w:rsidR="00C30BC2" w:rsidRDefault="00C30BC2" w:rsidP="00C3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2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D191" w14:textId="26E0DD33" w:rsidR="00C30BC2" w:rsidRDefault="00C30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B43CE" w14:textId="77777777" w:rsidR="00C30BC2" w:rsidRDefault="00C3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DF7C" w14:textId="77777777" w:rsidR="00C30BC2" w:rsidRDefault="00C30BC2" w:rsidP="00C30BC2">
      <w:pPr>
        <w:spacing w:after="0" w:line="240" w:lineRule="auto"/>
      </w:pPr>
      <w:r>
        <w:separator/>
      </w:r>
    </w:p>
  </w:footnote>
  <w:footnote w:type="continuationSeparator" w:id="0">
    <w:p w14:paraId="06D38EB7" w14:textId="77777777" w:rsidR="00C30BC2" w:rsidRDefault="00C30BC2" w:rsidP="00C3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302"/>
    <w:multiLevelType w:val="multilevel"/>
    <w:tmpl w:val="C7C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C30D7"/>
    <w:multiLevelType w:val="hybridMultilevel"/>
    <w:tmpl w:val="A9D4BB9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FD92136"/>
    <w:multiLevelType w:val="multilevel"/>
    <w:tmpl w:val="A4E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33D4"/>
    <w:multiLevelType w:val="multilevel"/>
    <w:tmpl w:val="F90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C7E7B"/>
    <w:multiLevelType w:val="multilevel"/>
    <w:tmpl w:val="2FA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667BA"/>
    <w:multiLevelType w:val="multilevel"/>
    <w:tmpl w:val="125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C1525"/>
    <w:multiLevelType w:val="multilevel"/>
    <w:tmpl w:val="D50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B0DB0"/>
    <w:multiLevelType w:val="multilevel"/>
    <w:tmpl w:val="B0A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16629"/>
    <w:multiLevelType w:val="multilevel"/>
    <w:tmpl w:val="ED4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097002">
    <w:abstractNumId w:val="1"/>
  </w:num>
  <w:num w:numId="2" w16cid:durableId="134101554">
    <w:abstractNumId w:val="8"/>
  </w:num>
  <w:num w:numId="3" w16cid:durableId="2072774868">
    <w:abstractNumId w:val="3"/>
  </w:num>
  <w:num w:numId="4" w16cid:durableId="1431926030">
    <w:abstractNumId w:val="5"/>
  </w:num>
  <w:num w:numId="5" w16cid:durableId="719331418">
    <w:abstractNumId w:val="7"/>
  </w:num>
  <w:num w:numId="6" w16cid:durableId="1335761406">
    <w:abstractNumId w:val="6"/>
  </w:num>
  <w:num w:numId="7" w16cid:durableId="1822043372">
    <w:abstractNumId w:val="4"/>
  </w:num>
  <w:num w:numId="8" w16cid:durableId="1106461761">
    <w:abstractNumId w:val="0"/>
  </w:num>
  <w:num w:numId="9" w16cid:durableId="1736277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E"/>
    <w:rsid w:val="001512E6"/>
    <w:rsid w:val="001A6874"/>
    <w:rsid w:val="002522B9"/>
    <w:rsid w:val="00273B3C"/>
    <w:rsid w:val="002A71C7"/>
    <w:rsid w:val="002F7CBA"/>
    <w:rsid w:val="003D6695"/>
    <w:rsid w:val="003F1B15"/>
    <w:rsid w:val="004E0391"/>
    <w:rsid w:val="00554D3A"/>
    <w:rsid w:val="00674760"/>
    <w:rsid w:val="00727A0E"/>
    <w:rsid w:val="00730D3E"/>
    <w:rsid w:val="007977B4"/>
    <w:rsid w:val="007F2A99"/>
    <w:rsid w:val="00954C12"/>
    <w:rsid w:val="00994E12"/>
    <w:rsid w:val="00B76BF2"/>
    <w:rsid w:val="00B94603"/>
    <w:rsid w:val="00BA143F"/>
    <w:rsid w:val="00C30BC2"/>
    <w:rsid w:val="00C63B6A"/>
    <w:rsid w:val="00C67341"/>
    <w:rsid w:val="00CB387F"/>
    <w:rsid w:val="00D91317"/>
    <w:rsid w:val="00DB4BD8"/>
    <w:rsid w:val="00DF3353"/>
    <w:rsid w:val="00E15371"/>
    <w:rsid w:val="00E86CC5"/>
    <w:rsid w:val="00F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74B45"/>
  <w15:chartTrackingRefBased/>
  <w15:docId w15:val="{455B6962-B50B-4781-9947-1350606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D3E"/>
    <w:rPr>
      <w:b/>
      <w:bCs/>
      <w:smallCaps/>
      <w:color w:val="0F4761" w:themeColor="accent1" w:themeShade="BF"/>
      <w:spacing w:val="5"/>
    </w:rPr>
  </w:style>
  <w:style w:type="character" w:customStyle="1" w:styleId="sr-only">
    <w:name w:val="sr-only"/>
    <w:basedOn w:val="DefaultParagraphFont"/>
    <w:rsid w:val="00730D3E"/>
  </w:style>
  <w:style w:type="character" w:styleId="Hyperlink">
    <w:name w:val="Hyperlink"/>
    <w:basedOn w:val="DefaultParagraphFont"/>
    <w:uiPriority w:val="99"/>
    <w:semiHidden/>
    <w:unhideWhenUsed/>
    <w:rsid w:val="00730D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C2"/>
  </w:style>
  <w:style w:type="paragraph" w:styleId="Footer">
    <w:name w:val="footer"/>
    <w:basedOn w:val="Normal"/>
    <w:link w:val="FooterChar"/>
    <w:uiPriority w:val="99"/>
    <w:unhideWhenUsed/>
    <w:rsid w:val="00C3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74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4</cp:revision>
  <dcterms:created xsi:type="dcterms:W3CDTF">2025-02-13T13:33:00Z</dcterms:created>
  <dcterms:modified xsi:type="dcterms:W3CDTF">2025-02-13T21:37:00Z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8a70ae28-7679-4600-99ce-a8e0d3f3b237</vt:lpwstr>
  </property>
</Properties>
</file>