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>
        <w:rPr>
          <w:rStyle w:val="markedcontent"/>
          <w:rFonts w:ascii="Times New Roman" w:hAnsi="Times New Roman"/>
          <w:b/>
        </w:rPr>
        <w:t>Department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(Date of Meeting)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F86933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F86933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Morales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Sandi Towers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Kenneth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Morales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Davis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Alicia Law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F8693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 cont.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Jerry Connolly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Kohl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Whitney Walker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869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F86933" w:rsidRDefault="00F86933" w:rsidP="00FD5060">
            <w:pPr>
              <w:rPr>
                <w:sz w:val="16"/>
                <w:szCs w:val="16"/>
              </w:rPr>
            </w:pPr>
            <w:r w:rsidRPr="00F86933"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C23C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86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C23C3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86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86933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Michele Pelletier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Peter Ocsody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86933" w:rsidP="00F86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F86933" w:rsidRPr="005C1AAC" w:rsidRDefault="00F837EE" w:rsidP="00F86933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F86933">
        <w:rPr>
          <w:rFonts w:ascii="Times New Roman" w:eastAsia="Calibri" w:hAnsi="Times New Roman"/>
        </w:rPr>
        <w:t xml:space="preserve"> 1pm.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5C1AAC" w:rsidRDefault="005C1AAC" w:rsidP="00F837EE">
      <w:pPr>
        <w:spacing w:after="160" w:line="259" w:lineRule="auto"/>
        <w:rPr>
          <w:rFonts w:ascii="Times New Roman" w:eastAsia="Calibri" w:hAnsi="Times New Roman"/>
        </w:rPr>
      </w:pPr>
      <w:r w:rsidRPr="005C1AAC">
        <w:rPr>
          <w:rFonts w:ascii="Times New Roman" w:eastAsia="Calibri" w:hAnsi="Times New Roman"/>
        </w:rPr>
        <w:t xml:space="preserve">Associate Dean Baker </w:t>
      </w:r>
      <w:r w:rsidR="00FD68C3">
        <w:rPr>
          <w:rFonts w:ascii="Times New Roman" w:eastAsia="Calibri" w:hAnsi="Times New Roman"/>
        </w:rPr>
        <w:t xml:space="preserve">welcomed the group and reminded everyone that this is our last SoBT meeting until January. </w:t>
      </w:r>
    </w:p>
    <w:p w:rsidR="00FD68C3" w:rsidRDefault="00FD68C3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Associate Dean Baker encouraged faculty/staff to attend the upcoming Open House Event on November 14</w:t>
      </w:r>
      <w:r w:rsidRPr="00FD68C3">
        <w:rPr>
          <w:rFonts w:ascii="Times New Roman" w:eastAsia="Calibri" w:hAnsi="Times New Roman"/>
          <w:vertAlign w:val="superscript"/>
        </w:rPr>
        <w:t>th</w:t>
      </w:r>
      <w:r>
        <w:rPr>
          <w:rFonts w:ascii="Times New Roman" w:eastAsia="Calibri" w:hAnsi="Times New Roman"/>
        </w:rPr>
        <w:t>. Any set-up needs can be requested through Mary Fullenkamp.</w:t>
      </w:r>
    </w:p>
    <w:p w:rsidR="00FD68C3" w:rsidRDefault="00FD68C3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Walker and Professor Hoffman gave an update on Effectiveness Coordinator Counci</w:t>
      </w:r>
      <w:r w:rsidR="001731A0">
        <w:rPr>
          <w:rFonts w:ascii="Times New Roman" w:eastAsia="Calibri" w:hAnsi="Times New Roman"/>
        </w:rPr>
        <w:t>l and encouraged all the faculty to participate in the survey. The link was provided in the chat. Mary Fullenkamp will follow up with an email.</w:t>
      </w:r>
      <w:bookmarkStart w:id="0" w:name="_GoBack"/>
      <w:bookmarkEnd w:id="0"/>
    </w:p>
    <w:p w:rsidR="00FD68C3" w:rsidRDefault="00FD68C3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Davis announced that FSW will be hosting a Veteran’s Day event on Tuesday, November 12</w:t>
      </w:r>
      <w:r w:rsidRPr="00FD68C3">
        <w:rPr>
          <w:rFonts w:ascii="Times New Roman" w:eastAsia="Calibri" w:hAnsi="Times New Roman"/>
          <w:vertAlign w:val="superscript"/>
        </w:rPr>
        <w:t>th</w:t>
      </w:r>
      <w:r>
        <w:rPr>
          <w:rFonts w:ascii="Times New Roman" w:eastAsia="Calibri" w:hAnsi="Times New Roman"/>
        </w:rPr>
        <w:t>. All faculty/staff/students are welcome—an invite with more details will be distributed by Mary Fullenk</w:t>
      </w:r>
      <w:r w:rsidR="001731A0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mp.</w:t>
      </w:r>
    </w:p>
    <w:p w:rsidR="001731A0" w:rsidRPr="005C1AAC" w:rsidRDefault="001731A0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Lucas and Dr. Conwell gave an update on the conferences they recently attended.</w:t>
      </w: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F86933">
        <w:rPr>
          <w:rFonts w:ascii="Times New Roman" w:eastAsia="Calibri" w:hAnsi="Times New Roman"/>
        </w:rPr>
        <w:t>2pm</w:t>
      </w:r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7"/>
  </w:num>
  <w:num w:numId="5">
    <w:abstractNumId w:val="13"/>
  </w:num>
  <w:num w:numId="6">
    <w:abstractNumId w:val="10"/>
  </w:num>
  <w:num w:numId="7">
    <w:abstractNumId w:val="18"/>
  </w:num>
  <w:num w:numId="8">
    <w:abstractNumId w:val="4"/>
  </w:num>
  <w:num w:numId="9">
    <w:abstractNumId w:val="11"/>
  </w:num>
  <w:num w:numId="10">
    <w:abstractNumId w:val="0"/>
  </w:num>
  <w:num w:numId="11">
    <w:abstractNumId w:val="15"/>
  </w:num>
  <w:num w:numId="12">
    <w:abstractNumId w:val="2"/>
  </w:num>
  <w:num w:numId="13">
    <w:abstractNumId w:val="1"/>
  </w:num>
  <w:num w:numId="14">
    <w:abstractNumId w:val="19"/>
  </w:num>
  <w:num w:numId="15">
    <w:abstractNumId w:val="17"/>
  </w:num>
  <w:num w:numId="16">
    <w:abstractNumId w:val="3"/>
  </w:num>
  <w:num w:numId="17">
    <w:abstractNumId w:val="16"/>
  </w:num>
  <w:num w:numId="18">
    <w:abstractNumId w:val="9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731A0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C23C3"/>
    <w:rsid w:val="002C4110"/>
    <w:rsid w:val="002F19AA"/>
    <w:rsid w:val="00301100"/>
    <w:rsid w:val="0030339C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C1AAC"/>
    <w:rsid w:val="005E25D8"/>
    <w:rsid w:val="00607991"/>
    <w:rsid w:val="00616B22"/>
    <w:rsid w:val="00676775"/>
    <w:rsid w:val="006D233C"/>
    <w:rsid w:val="007709B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86933"/>
    <w:rsid w:val="00F96721"/>
    <w:rsid w:val="00FB5B5E"/>
    <w:rsid w:val="00FD0688"/>
    <w:rsid w:val="00F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286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Jennifer Baker</cp:lastModifiedBy>
  <cp:revision>2</cp:revision>
  <cp:lastPrinted>2023-08-16T16:44:00Z</cp:lastPrinted>
  <dcterms:created xsi:type="dcterms:W3CDTF">2024-11-14T16:54:00Z</dcterms:created>
  <dcterms:modified xsi:type="dcterms:W3CDTF">2024-11-14T16:54:00Z</dcterms:modified>
</cp:coreProperties>
</file>