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07C3" w14:textId="77777777" w:rsidR="002460BA" w:rsidRDefault="002460BA" w:rsidP="002460BA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14:paraId="75597357" w14:textId="7E16BF43" w:rsidR="002460BA" w:rsidRDefault="002460BA" w:rsidP="002460BA">
      <w:pPr>
        <w:jc w:val="center"/>
      </w:pPr>
      <w:r>
        <w:rPr>
          <w:i/>
        </w:rPr>
        <w:t>Friday, October 20th, 2023</w:t>
      </w:r>
    </w:p>
    <w:p w14:paraId="03AAD6F5" w14:textId="760984C9" w:rsidR="002460BA" w:rsidRDefault="002460BA" w:rsidP="002460BA">
      <w:pPr>
        <w:jc w:val="center"/>
      </w:pPr>
      <w:r>
        <w:t>10:00am – 11:30am</w:t>
      </w:r>
    </w:p>
    <w:p w14:paraId="4C051C57" w14:textId="77777777" w:rsidR="002460BA" w:rsidRDefault="002460BA" w:rsidP="002460BA">
      <w:pPr>
        <w:jc w:val="center"/>
      </w:pPr>
    </w:p>
    <w:p w14:paraId="7B1D1D4E" w14:textId="77777777" w:rsidR="002460BA" w:rsidRDefault="002460BA" w:rsidP="002460BA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6FA222A" w14:textId="77777777" w:rsidR="002460BA" w:rsidRDefault="002460BA" w:rsidP="002460BA">
      <w:r>
        <w:t>Recorded by: Jamie Votraw</w:t>
      </w:r>
    </w:p>
    <w:p w14:paraId="64FD5D3A" w14:textId="7D26767D" w:rsidR="002460BA" w:rsidRDefault="002460BA" w:rsidP="002460BA"/>
    <w:p w14:paraId="66EE6E35" w14:textId="77777777" w:rsidR="002460BA" w:rsidRDefault="002460BA" w:rsidP="002460BA">
      <w:r>
        <w:t>Attendance:</w:t>
      </w:r>
    </w:p>
    <w:p w14:paraId="4C0DC15C" w14:textId="7DA90590" w:rsidR="002460BA" w:rsidRDefault="002460BA" w:rsidP="002460BA">
      <w:r>
        <w:t xml:space="preserve">Dani Peterson, Steve Chase, Martin McClinton, Rebecca Harris, Randy Moffett, Joyce Rollins, Mary Schultz, Don Ransford, Joel Reinking, Elijah Pritchett, Alex Schimel, Cara </w:t>
      </w:r>
      <w:proofErr w:type="spellStart"/>
      <w:r>
        <w:t>Minardi</w:t>
      </w:r>
      <w:proofErr w:type="spellEnd"/>
      <w:r>
        <w:t xml:space="preserve"> Power, Elizabeth Schott, Jennifer Grove, Jamie Votraw, Shawn Moore, Suzanne </w:t>
      </w:r>
      <w:proofErr w:type="spellStart"/>
      <w:r>
        <w:t>Biedenbach</w:t>
      </w:r>
      <w:proofErr w:type="spellEnd"/>
      <w:r>
        <w:t xml:space="preserve">, Esmaeel </w:t>
      </w:r>
      <w:proofErr w:type="spellStart"/>
      <w:r>
        <w:t>Samal</w:t>
      </w:r>
      <w:r w:rsidR="00AC2E90">
        <w:t>i</w:t>
      </w:r>
      <w:bookmarkStart w:id="0" w:name="_GoBack"/>
      <w:bookmarkEnd w:id="0"/>
      <w:r>
        <w:t>azed</w:t>
      </w:r>
      <w:proofErr w:type="spellEnd"/>
      <w:r>
        <w:t>, Ken Belcher</w:t>
      </w:r>
    </w:p>
    <w:p w14:paraId="440CBCBF" w14:textId="77777777" w:rsidR="002460BA" w:rsidRDefault="002460BA" w:rsidP="002460BA">
      <w:pPr>
        <w:rPr>
          <w:sz w:val="32"/>
          <w:szCs w:val="32"/>
        </w:rPr>
      </w:pPr>
    </w:p>
    <w:p w14:paraId="37B1B3B1" w14:textId="5DE35412" w:rsidR="002460BA" w:rsidRDefault="002460BA" w:rsidP="002460BA">
      <w:pPr>
        <w:pStyle w:val="ListParagraph"/>
        <w:numPr>
          <w:ilvl w:val="0"/>
          <w:numId w:val="1"/>
        </w:numPr>
      </w:pPr>
      <w:r>
        <w:t>Approval of the minutes from the last meeting (September 1</w:t>
      </w:r>
      <w:r w:rsidRPr="00744CDE">
        <w:rPr>
          <w:vertAlign w:val="superscript"/>
        </w:rPr>
        <w:t>st</w:t>
      </w:r>
      <w:r>
        <w:t>, 2023)</w:t>
      </w:r>
    </w:p>
    <w:p w14:paraId="751D0E6D" w14:textId="498326BA" w:rsidR="002460BA" w:rsidRDefault="002460BA" w:rsidP="002460BA">
      <w:pPr>
        <w:pStyle w:val="ListParagraph"/>
        <w:numPr>
          <w:ilvl w:val="1"/>
          <w:numId w:val="1"/>
        </w:numPr>
      </w:pPr>
      <w:r>
        <w:t>The minutes were approved.</w:t>
      </w:r>
    </w:p>
    <w:p w14:paraId="37477201" w14:textId="77777777" w:rsidR="002460BA" w:rsidRDefault="002460BA" w:rsidP="002460BA">
      <w:pPr>
        <w:pStyle w:val="ListParagraph"/>
        <w:numPr>
          <w:ilvl w:val="0"/>
          <w:numId w:val="1"/>
        </w:numPr>
      </w:pPr>
      <w:r>
        <w:t>Information Items</w:t>
      </w:r>
    </w:p>
    <w:p w14:paraId="72197072" w14:textId="77777777" w:rsidR="002460BA" w:rsidRDefault="002460BA" w:rsidP="002460BA">
      <w:pPr>
        <w:pStyle w:val="ListParagraph"/>
        <w:numPr>
          <w:ilvl w:val="1"/>
          <w:numId w:val="1"/>
        </w:numPr>
      </w:pPr>
      <w:r>
        <w:t>Exploratory conversation about developing a technical writing course, Dr. Shawn Moore</w:t>
      </w:r>
    </w:p>
    <w:p w14:paraId="5A221C10" w14:textId="70F5F33C" w:rsidR="002460BA" w:rsidRDefault="002460BA" w:rsidP="002460BA">
      <w:pPr>
        <w:pStyle w:val="ListParagraph"/>
        <w:numPr>
          <w:ilvl w:val="2"/>
          <w:numId w:val="1"/>
        </w:numPr>
      </w:pPr>
      <w:r>
        <w:t xml:space="preserve">Dr. Moore explained that ENC 1102 previously had three sections, but recently with the addition of simple syllabus, there is not a way to create distinctions for each emphasis. </w:t>
      </w:r>
    </w:p>
    <w:p w14:paraId="2A8D15CD" w14:textId="318C3E37" w:rsidR="002460BA" w:rsidRDefault="002460BA" w:rsidP="002460BA">
      <w:pPr>
        <w:pStyle w:val="ListParagraph"/>
        <w:numPr>
          <w:ilvl w:val="2"/>
          <w:numId w:val="1"/>
        </w:numPr>
      </w:pPr>
      <w:r>
        <w:t>The English faculty is moving back to a “regular” ENC 1102</w:t>
      </w:r>
      <w:r w:rsidR="007773E1">
        <w:t>,</w:t>
      </w:r>
      <w:r>
        <w:t xml:space="preserve"> where the gen</w:t>
      </w:r>
      <w:r w:rsidR="007773E1">
        <w:t>eral education</w:t>
      </w:r>
      <w:r>
        <w:t xml:space="preserve"> competencies are </w:t>
      </w:r>
      <w:r w:rsidRPr="007773E1">
        <w:rPr>
          <w:i/>
          <w:iCs/>
        </w:rPr>
        <w:t>research</w:t>
      </w:r>
      <w:r>
        <w:t xml:space="preserve"> </w:t>
      </w:r>
      <w:r w:rsidR="007773E1">
        <w:t xml:space="preserve">and </w:t>
      </w:r>
      <w:r w:rsidRPr="007773E1">
        <w:rPr>
          <w:i/>
          <w:iCs/>
        </w:rPr>
        <w:t>investigate</w:t>
      </w:r>
      <w:r>
        <w:t>. Accordingly,</w:t>
      </w:r>
      <w:r w:rsidR="007773E1">
        <w:t xml:space="preserve"> the course description for</w:t>
      </w:r>
      <w:r>
        <w:t xml:space="preserve"> ENC 110</w:t>
      </w:r>
      <w:r w:rsidR="007773E1">
        <w:t>2 was updated to</w:t>
      </w:r>
      <w:r>
        <w:t xml:space="preserve"> remove those emphases. </w:t>
      </w:r>
      <w:r w:rsidR="007773E1">
        <w:t>However, the English f</w:t>
      </w:r>
      <w:r>
        <w:t xml:space="preserve">aculty will have the academic freedom to continue to use the </w:t>
      </w:r>
      <w:r w:rsidR="007773E1">
        <w:t>emphases</w:t>
      </w:r>
      <w:r>
        <w:t xml:space="preserve">, if they wish. </w:t>
      </w:r>
    </w:p>
    <w:p w14:paraId="3D7FE81E" w14:textId="357E69D7" w:rsidR="007773E1" w:rsidRDefault="002460BA" w:rsidP="007773E1">
      <w:pPr>
        <w:pStyle w:val="ListParagraph"/>
        <w:numPr>
          <w:ilvl w:val="0"/>
          <w:numId w:val="2"/>
        </w:numPr>
      </w:pPr>
      <w:r>
        <w:t xml:space="preserve">Some schools, such as the </w:t>
      </w:r>
      <w:proofErr w:type="spellStart"/>
      <w:r>
        <w:t>SoBT</w:t>
      </w:r>
      <w:proofErr w:type="spellEnd"/>
      <w:r>
        <w:t xml:space="preserve">, prefer students to take tech writing if </w:t>
      </w:r>
      <w:r w:rsidR="007773E1">
        <w:t>it is</w:t>
      </w:r>
      <w:r>
        <w:t xml:space="preserve"> an option. So, </w:t>
      </w:r>
      <w:r w:rsidR="007773E1">
        <w:t xml:space="preserve">the English department is </w:t>
      </w:r>
      <w:r>
        <w:t>developing ENC 2110 – technical writing. Technical writing is supposed to focus on accuracy in technical writing, so</w:t>
      </w:r>
      <w:r w:rsidR="007773E1">
        <w:t xml:space="preserve"> that is the</w:t>
      </w:r>
      <w:r>
        <w:t xml:space="preserve"> current focus</w:t>
      </w:r>
      <w:r w:rsidR="007773E1">
        <w:t xml:space="preserve"> for the course development</w:t>
      </w:r>
      <w:r>
        <w:t>.</w:t>
      </w:r>
      <w:r w:rsidR="007773E1">
        <w:t xml:space="preserve"> Dr. Moore presents a question, c</w:t>
      </w:r>
      <w:r>
        <w:t>ould students take ENC 2110 instead of ENC 1102?</w:t>
      </w:r>
      <w:r w:rsidR="007773E1">
        <w:t xml:space="preserve"> </w:t>
      </w:r>
    </w:p>
    <w:p w14:paraId="4E8C1A79" w14:textId="77777777" w:rsidR="007773E1" w:rsidRDefault="002460BA" w:rsidP="007773E1">
      <w:pPr>
        <w:pStyle w:val="ListParagraph"/>
        <w:numPr>
          <w:ilvl w:val="2"/>
          <w:numId w:val="1"/>
        </w:numPr>
      </w:pPr>
      <w:r>
        <w:t>Dr. Harris explained that ENC 1102 satisfie</w:t>
      </w:r>
      <w:r w:rsidR="007773E1">
        <w:t>s</w:t>
      </w:r>
      <w:r>
        <w:t xml:space="preserve"> the second part of the Gordon rule – </w:t>
      </w:r>
      <w:r w:rsidR="007773E1">
        <w:t xml:space="preserve">and </w:t>
      </w:r>
      <w:r>
        <w:t xml:space="preserve">some other colleges will accept </w:t>
      </w:r>
      <w:r w:rsidR="007773E1">
        <w:t xml:space="preserve">ENC </w:t>
      </w:r>
      <w:r>
        <w:t xml:space="preserve">2110 </w:t>
      </w:r>
      <w:r w:rsidR="007773E1">
        <w:t xml:space="preserve">in place of </w:t>
      </w:r>
      <w:r>
        <w:t xml:space="preserve">ENC </w:t>
      </w:r>
      <w:r w:rsidR="007773E1">
        <w:t>1102</w:t>
      </w:r>
      <w:r>
        <w:t xml:space="preserve">. </w:t>
      </w:r>
      <w:r w:rsidR="007773E1">
        <w:t>She added that a</w:t>
      </w:r>
      <w:r>
        <w:t>t FSW we only accept ENC 1102</w:t>
      </w:r>
      <w:r w:rsidR="007773E1">
        <w:t xml:space="preserve"> </w:t>
      </w:r>
      <w:r>
        <w:t>because we only have</w:t>
      </w:r>
      <w:r w:rsidR="007773E1">
        <w:t xml:space="preserve"> ENC</w:t>
      </w:r>
      <w:r>
        <w:t xml:space="preserve"> 1102. As a </w:t>
      </w:r>
      <w:r w:rsidR="007773E1">
        <w:t>caveat</w:t>
      </w:r>
      <w:r>
        <w:t xml:space="preserve"> – </w:t>
      </w:r>
      <w:r w:rsidR="007773E1">
        <w:t>she notes that we do not have the capacity to hold</w:t>
      </w:r>
      <w:r>
        <w:t xml:space="preserve"> 100 sections of </w:t>
      </w:r>
      <w:r w:rsidR="007773E1">
        <w:t xml:space="preserve">ENC </w:t>
      </w:r>
      <w:r>
        <w:t>2110, so it will always be a small group of student</w:t>
      </w:r>
      <w:r w:rsidR="007773E1">
        <w:t>s from</w:t>
      </w:r>
      <w:r>
        <w:t xml:space="preserve"> specific programs. The</w:t>
      </w:r>
      <w:r w:rsidR="007773E1">
        <w:t xml:space="preserve"> </w:t>
      </w:r>
      <w:r>
        <w:t>state require</w:t>
      </w:r>
      <w:r w:rsidR="007773E1">
        <w:t>s</w:t>
      </w:r>
      <w:r>
        <w:t xml:space="preserve"> </w:t>
      </w:r>
      <w:r w:rsidR="007773E1">
        <w:t>ENC</w:t>
      </w:r>
      <w:r>
        <w:t xml:space="preserve"> 1101, so as long as </w:t>
      </w:r>
      <w:r w:rsidR="007773E1">
        <w:t>ENC</w:t>
      </w:r>
      <w:r>
        <w:t xml:space="preserve"> 1101 is a pre-req</w:t>
      </w:r>
      <w:r w:rsidR="007773E1">
        <w:t xml:space="preserve"> for ENC </w:t>
      </w:r>
      <w:r>
        <w:t>2110</w:t>
      </w:r>
      <w:r w:rsidR="007773E1">
        <w:t xml:space="preserve">, EC 2110 can be offered </w:t>
      </w:r>
      <w:r>
        <w:t xml:space="preserve">in place of </w:t>
      </w:r>
      <w:r w:rsidR="007773E1">
        <w:t xml:space="preserve">ENC </w:t>
      </w:r>
      <w:r>
        <w:t xml:space="preserve">1102. </w:t>
      </w:r>
    </w:p>
    <w:p w14:paraId="795973CB" w14:textId="77777777" w:rsidR="007773E1" w:rsidRDefault="007773E1" w:rsidP="007773E1">
      <w:pPr>
        <w:pStyle w:val="ListParagraph"/>
        <w:numPr>
          <w:ilvl w:val="2"/>
          <w:numId w:val="1"/>
        </w:numPr>
      </w:pPr>
      <w:r>
        <w:t xml:space="preserve">Dr. Moore wants to discuss how the GEAC feels about this change. </w:t>
      </w:r>
      <w:r w:rsidR="002460BA">
        <w:t xml:space="preserve">Professor Ransford </w:t>
      </w:r>
      <w:r>
        <w:t xml:space="preserve">mentioned that the science programs are excited about this course, and he asked for clarification </w:t>
      </w:r>
      <w:r w:rsidR="002460BA">
        <w:t xml:space="preserve">that the English faculty are working to make </w:t>
      </w:r>
      <w:r>
        <w:t>a broader technical</w:t>
      </w:r>
      <w:r w:rsidR="002460BA">
        <w:t xml:space="preserve"> writing </w:t>
      </w:r>
      <w:r>
        <w:t>course. Dr. Moore confirms this is accurate.</w:t>
      </w:r>
    </w:p>
    <w:p w14:paraId="08CB93B5" w14:textId="77777777" w:rsidR="007773E1" w:rsidRDefault="002460BA" w:rsidP="007773E1">
      <w:pPr>
        <w:pStyle w:val="ListParagraph"/>
        <w:numPr>
          <w:ilvl w:val="2"/>
          <w:numId w:val="1"/>
        </w:numPr>
      </w:pPr>
      <w:r>
        <w:t xml:space="preserve">Professor Peterson clarifies – this course isn’t currently offered, but it </w:t>
      </w:r>
      <w:r w:rsidR="007773E1">
        <w:t>will be</w:t>
      </w:r>
      <w:r>
        <w:t xml:space="preserve"> beneficial to students in math and science pathways. Dr. Moore </w:t>
      </w:r>
      <w:r w:rsidR="007773E1">
        <w:t>agreed</w:t>
      </w:r>
      <w:r>
        <w:t xml:space="preserve"> that </w:t>
      </w:r>
      <w:r>
        <w:lastRenderedPageBreak/>
        <w:t>there is a need in these pathways, and th</w:t>
      </w:r>
      <w:r w:rsidR="007773E1">
        <w:t>at some</w:t>
      </w:r>
      <w:r>
        <w:t xml:space="preserve"> academic programs</w:t>
      </w:r>
      <w:r w:rsidR="007773E1">
        <w:t xml:space="preserve"> </w:t>
      </w:r>
      <w:r>
        <w:t>ask</w:t>
      </w:r>
      <w:r w:rsidR="007773E1">
        <w:t xml:space="preserve"> the</w:t>
      </w:r>
      <w:r>
        <w:t xml:space="preserve"> English</w:t>
      </w:r>
      <w:r w:rsidR="007773E1">
        <w:t xml:space="preserve"> faculty</w:t>
      </w:r>
      <w:r>
        <w:t xml:space="preserve"> to teach the type of writing </w:t>
      </w:r>
      <w:r w:rsidR="007773E1">
        <w:t>their students need. Unfortunately, this</w:t>
      </w:r>
      <w:r>
        <w:t xml:space="preserve"> isn’t feasible to cover </w:t>
      </w:r>
      <w:r w:rsidR="007773E1">
        <w:t xml:space="preserve">this </w:t>
      </w:r>
      <w:r>
        <w:t xml:space="preserve">in the </w:t>
      </w:r>
      <w:r w:rsidR="007773E1">
        <w:t xml:space="preserve">current </w:t>
      </w:r>
      <w:r>
        <w:t xml:space="preserve">English program. Dr. Harris points out that </w:t>
      </w:r>
      <w:r w:rsidR="007773E1">
        <w:t xml:space="preserve">while it would be beneficial for </w:t>
      </w:r>
      <w:r>
        <w:t>these</w:t>
      </w:r>
      <w:r w:rsidR="007773E1">
        <w:t xml:space="preserve"> other</w:t>
      </w:r>
      <w:r>
        <w:t xml:space="preserve"> programs to reinforce APA lessons throughout their </w:t>
      </w:r>
      <w:r w:rsidR="007773E1">
        <w:t>curriculum</w:t>
      </w:r>
      <w:r>
        <w:t xml:space="preserve">, this new technical writing course will </w:t>
      </w:r>
      <w:r w:rsidR="007773E1">
        <w:t xml:space="preserve">support them by </w:t>
      </w:r>
      <w:r>
        <w:t>teach</w:t>
      </w:r>
      <w:r w:rsidR="007773E1">
        <w:t>ing</w:t>
      </w:r>
      <w:r>
        <w:t xml:space="preserve"> APA.</w:t>
      </w:r>
    </w:p>
    <w:p w14:paraId="68FEC957" w14:textId="2E112DDB" w:rsidR="007773E1" w:rsidRDefault="007773E1" w:rsidP="007773E1">
      <w:pPr>
        <w:pStyle w:val="ListParagraph"/>
        <w:numPr>
          <w:ilvl w:val="2"/>
          <w:numId w:val="1"/>
        </w:numPr>
      </w:pPr>
      <w:r>
        <w:t>Professor Grove</w:t>
      </w:r>
      <w:r w:rsidR="002460BA">
        <w:t xml:space="preserve"> asks – can students take all three ENC courses? Dr. Harris and Moore say yes, but </w:t>
      </w:r>
      <w:r>
        <w:t xml:space="preserve">note that </w:t>
      </w:r>
      <w:r w:rsidR="002460BA">
        <w:t xml:space="preserve">one would count as an elective. Dr. McClinton </w:t>
      </w:r>
      <w:r>
        <w:t>adds</w:t>
      </w:r>
      <w:r w:rsidR="002460BA">
        <w:t xml:space="preserve"> that there are 6 “floating” gen</w:t>
      </w:r>
      <w:r>
        <w:t>eral</w:t>
      </w:r>
      <w:r w:rsidR="002460BA">
        <w:t xml:space="preserve"> ed</w:t>
      </w:r>
      <w:r>
        <w:t>ucation</w:t>
      </w:r>
      <w:r w:rsidR="002460BA">
        <w:t xml:space="preserve"> credits that </w:t>
      </w:r>
      <w:r>
        <w:t>a third</w:t>
      </w:r>
      <w:r w:rsidR="002460BA">
        <w:t xml:space="preserve"> course could fall into. </w:t>
      </w:r>
    </w:p>
    <w:p w14:paraId="5C7D699C" w14:textId="77777777" w:rsidR="007773E1" w:rsidRDefault="007773E1" w:rsidP="007773E1">
      <w:pPr>
        <w:pStyle w:val="ListParagraph"/>
        <w:numPr>
          <w:ilvl w:val="2"/>
          <w:numId w:val="1"/>
        </w:numPr>
      </w:pPr>
      <w:r>
        <w:t xml:space="preserve">Professor Moffett notes that it </w:t>
      </w:r>
      <w:r w:rsidR="002460BA">
        <w:t xml:space="preserve">is </w:t>
      </w:r>
      <w:r>
        <w:t>the i</w:t>
      </w:r>
      <w:r w:rsidR="002460BA">
        <w:t>nten</w:t>
      </w:r>
      <w:r>
        <w:t>tion of general education</w:t>
      </w:r>
      <w:r w:rsidR="002460BA">
        <w:t xml:space="preserve"> to </w:t>
      </w:r>
      <w:r>
        <w:t>provide students with</w:t>
      </w:r>
      <w:r w:rsidR="002460BA">
        <w:t xml:space="preserve"> a broad education, so </w:t>
      </w:r>
      <w:r>
        <w:t xml:space="preserve">he asks if </w:t>
      </w:r>
      <w:r w:rsidR="002460BA">
        <w:t>a technical class push students away from</w:t>
      </w:r>
      <w:r>
        <w:t xml:space="preserve"> learning</w:t>
      </w:r>
      <w:r w:rsidR="002460BA">
        <w:t xml:space="preserve"> literature</w:t>
      </w:r>
      <w:r>
        <w:t>. Dr.</w:t>
      </w:r>
      <w:r w:rsidR="002460BA">
        <w:t xml:space="preserve"> Moore </w:t>
      </w:r>
      <w:r>
        <w:t xml:space="preserve">explained </w:t>
      </w:r>
      <w:r w:rsidR="002460BA">
        <w:t xml:space="preserve">that </w:t>
      </w:r>
      <w:r>
        <w:t xml:space="preserve">ENC </w:t>
      </w:r>
      <w:r w:rsidR="002460BA">
        <w:t xml:space="preserve">1102 is an advanced rhetorical approach to composition. So, even when there was a </w:t>
      </w:r>
      <w:r>
        <w:t>literature</w:t>
      </w:r>
      <w:r w:rsidR="002460BA">
        <w:t xml:space="preserve"> emphasis, </w:t>
      </w:r>
      <w:r>
        <w:t>it</w:t>
      </w:r>
      <w:r w:rsidR="002460BA">
        <w:t xml:space="preserve"> was meant to</w:t>
      </w:r>
      <w:r>
        <w:t xml:space="preserve"> use</w:t>
      </w:r>
      <w:r w:rsidR="002460BA">
        <w:t xml:space="preserve"> literature to </w:t>
      </w:r>
      <w:r>
        <w:t xml:space="preserve">aid students in </w:t>
      </w:r>
      <w:r w:rsidR="002460BA">
        <w:t>learn</w:t>
      </w:r>
      <w:r>
        <w:t>ing</w:t>
      </w:r>
      <w:r w:rsidR="002460BA">
        <w:t xml:space="preserve"> advanced rhetorical approach. Dr. Harris underscores this is valid. </w:t>
      </w:r>
    </w:p>
    <w:p w14:paraId="16647892" w14:textId="77777777" w:rsidR="007773E1" w:rsidRDefault="002460BA" w:rsidP="007773E1">
      <w:pPr>
        <w:pStyle w:val="ListParagraph"/>
        <w:numPr>
          <w:ilvl w:val="2"/>
          <w:numId w:val="1"/>
        </w:numPr>
      </w:pPr>
      <w:r>
        <w:t>Professor Ransford asks if students took all three</w:t>
      </w:r>
      <w:r w:rsidR="007773E1">
        <w:t xml:space="preserve"> ENC courses, and</w:t>
      </w:r>
      <w:r>
        <w:t xml:space="preserve"> two </w:t>
      </w:r>
      <w:r w:rsidR="007773E1">
        <w:t>satisfied the</w:t>
      </w:r>
      <w:r>
        <w:t xml:space="preserve"> Gordon rule, </w:t>
      </w:r>
      <w:r w:rsidR="007773E1">
        <w:t>would</w:t>
      </w:r>
      <w:r>
        <w:t xml:space="preserve"> the third could count as a writing intensive course? </w:t>
      </w:r>
      <w:r w:rsidR="007773E1">
        <w:t xml:space="preserve">Dr. </w:t>
      </w:r>
      <w:r>
        <w:t>McClinton says it could, but</w:t>
      </w:r>
      <w:r w:rsidR="007773E1">
        <w:t xml:space="preserve"> currently</w:t>
      </w:r>
      <w:r>
        <w:t xml:space="preserve"> the catalogue says WI courses have to come from SS</w:t>
      </w:r>
      <w:r w:rsidR="007773E1">
        <w:t xml:space="preserve"> or</w:t>
      </w:r>
      <w:r>
        <w:t xml:space="preserve"> HUM. Dr. Harris </w:t>
      </w:r>
      <w:r w:rsidR="007773E1">
        <w:t>adds that this is true</w:t>
      </w:r>
      <w:r>
        <w:t xml:space="preserve">, but that </w:t>
      </w:r>
      <w:r w:rsidR="007773E1">
        <w:t xml:space="preserve">rule </w:t>
      </w:r>
      <w:r>
        <w:t>was intended to be changed</w:t>
      </w:r>
      <w:r w:rsidR="007773E1">
        <w:t xml:space="preserve"> last semester</w:t>
      </w:r>
      <w:r>
        <w:t xml:space="preserve">. </w:t>
      </w:r>
      <w:r w:rsidR="007773E1">
        <w:t>Thus, a</w:t>
      </w:r>
      <w:r>
        <w:t xml:space="preserve">lthough </w:t>
      </w:r>
      <w:r w:rsidR="007773E1">
        <w:t xml:space="preserve">the catalogue </w:t>
      </w:r>
      <w:r>
        <w:t xml:space="preserve">says that </w:t>
      </w:r>
      <w:r w:rsidR="007773E1">
        <w:t>is the requirement</w:t>
      </w:r>
      <w:r>
        <w:t xml:space="preserve">, there is nothing in </w:t>
      </w:r>
      <w:r w:rsidR="007773E1">
        <w:t xml:space="preserve">the state </w:t>
      </w:r>
      <w:r>
        <w:t>statute that says WI course</w:t>
      </w:r>
      <w:r w:rsidR="007773E1">
        <w:t>s</w:t>
      </w:r>
      <w:r>
        <w:t xml:space="preserve"> have to be SS or HUM. </w:t>
      </w:r>
    </w:p>
    <w:p w14:paraId="467731DB" w14:textId="7A60DE7B" w:rsidR="007773E1" w:rsidRDefault="007773E1" w:rsidP="007773E1">
      <w:pPr>
        <w:pStyle w:val="ListParagraph"/>
        <w:numPr>
          <w:ilvl w:val="2"/>
          <w:numId w:val="1"/>
        </w:numPr>
      </w:pPr>
      <w:r>
        <w:t>Professor Peterson</w:t>
      </w:r>
      <w:r w:rsidR="002460BA">
        <w:t xml:space="preserve"> is going to review </w:t>
      </w:r>
      <w:r>
        <w:t xml:space="preserve">past meeting minutes to determine where the committee stood on this matter. </w:t>
      </w:r>
      <w:r w:rsidR="002460BA">
        <w:t xml:space="preserve">Randy said </w:t>
      </w:r>
      <w:r>
        <w:t>that GEAC</w:t>
      </w:r>
      <w:r w:rsidR="002460BA">
        <w:t xml:space="preserve"> didn’t do anything</w:t>
      </w:r>
      <w:r w:rsidR="00AC2E90">
        <w:t xml:space="preserve"> </w:t>
      </w:r>
      <w:r>
        <w:t xml:space="preserve">to make this change </w:t>
      </w:r>
      <w:r w:rsidR="002460BA">
        <w:t xml:space="preserve">– </w:t>
      </w:r>
      <w:r>
        <w:t>the committee was planning</w:t>
      </w:r>
      <w:r w:rsidR="002460BA">
        <w:t xml:space="preserve"> to vote</w:t>
      </w:r>
      <w:r>
        <w:t xml:space="preserve">, and </w:t>
      </w:r>
      <w:r w:rsidR="002460BA">
        <w:t xml:space="preserve">it </w:t>
      </w:r>
      <w:r>
        <w:t>seemed</w:t>
      </w:r>
      <w:r w:rsidR="002460BA">
        <w:t xml:space="preserve"> like we were going to make the change, but we didn’t follow through with </w:t>
      </w:r>
      <w:r>
        <w:t xml:space="preserve">an official vote. </w:t>
      </w:r>
    </w:p>
    <w:p w14:paraId="326E3F19" w14:textId="77777777" w:rsidR="007773E1" w:rsidRDefault="002460BA" w:rsidP="007773E1">
      <w:pPr>
        <w:pStyle w:val="ListParagraph"/>
        <w:numPr>
          <w:ilvl w:val="2"/>
          <w:numId w:val="1"/>
        </w:numPr>
      </w:pPr>
      <w:r>
        <w:t xml:space="preserve">Dr. Harris </w:t>
      </w:r>
      <w:r w:rsidR="007773E1">
        <w:t>noted that</w:t>
      </w:r>
      <w:r>
        <w:t xml:space="preserve"> if we change the WI requirement, there </w:t>
      </w:r>
      <w:r w:rsidR="007773E1">
        <w:t>likely</w:t>
      </w:r>
      <w:r>
        <w:t xml:space="preserve"> won’t be a big shift </w:t>
      </w:r>
      <w:r w:rsidR="007773E1">
        <w:t xml:space="preserve">in enrollment </w:t>
      </w:r>
      <w:r>
        <w:t xml:space="preserve">because there hasn’t been much interest </w:t>
      </w:r>
      <w:r w:rsidR="007773E1">
        <w:t>from the</w:t>
      </w:r>
      <w:r>
        <w:t xml:space="preserve"> science </w:t>
      </w:r>
      <w:r w:rsidR="007773E1">
        <w:t xml:space="preserve">discipline in developing </w:t>
      </w:r>
      <w:r>
        <w:t>WI</w:t>
      </w:r>
      <w:r w:rsidR="007773E1">
        <w:t xml:space="preserve"> courses. </w:t>
      </w:r>
    </w:p>
    <w:p w14:paraId="2149C54C" w14:textId="77777777" w:rsidR="007773E1" w:rsidRDefault="007773E1" w:rsidP="007773E1">
      <w:pPr>
        <w:pStyle w:val="ListParagraph"/>
        <w:numPr>
          <w:ilvl w:val="2"/>
          <w:numId w:val="1"/>
        </w:numPr>
      </w:pPr>
      <w:r>
        <w:t>Dr. Pritchett</w:t>
      </w:r>
      <w:r w:rsidR="002460BA">
        <w:t xml:space="preserve"> </w:t>
      </w:r>
      <w:r>
        <w:t>commented that</w:t>
      </w:r>
      <w:r w:rsidR="002460BA">
        <w:t xml:space="preserve"> if the debate about WI courses was left unsettled, he’s </w:t>
      </w:r>
      <w:r>
        <w:t>wants to</w:t>
      </w:r>
      <w:r w:rsidR="002460BA">
        <w:t xml:space="preserve"> engag</w:t>
      </w:r>
      <w:r>
        <w:t>e</w:t>
      </w:r>
      <w:r w:rsidR="002460BA">
        <w:t xml:space="preserve"> in that conversation. One concern </w:t>
      </w:r>
      <w:r>
        <w:t xml:space="preserve">he presented </w:t>
      </w:r>
      <w:r w:rsidR="002460BA">
        <w:t>is that students are</w:t>
      </w:r>
      <w:r>
        <w:t xml:space="preserve"> automatically</w:t>
      </w:r>
      <w:r w:rsidR="002460BA">
        <w:t xml:space="preserve"> going to be exposed to science and </w:t>
      </w:r>
      <w:r>
        <w:t>English classes</w:t>
      </w:r>
      <w:r w:rsidR="002460BA">
        <w:t xml:space="preserve">, but humanities </w:t>
      </w:r>
      <w:r>
        <w:t xml:space="preserve">classes </w:t>
      </w:r>
      <w:r w:rsidR="002460BA">
        <w:t xml:space="preserve">need a little more institutional protection, </w:t>
      </w:r>
      <w:r>
        <w:t>and</w:t>
      </w:r>
      <w:r w:rsidR="002460BA">
        <w:t xml:space="preserve"> he want</w:t>
      </w:r>
      <w:r>
        <w:t>s</w:t>
      </w:r>
      <w:r w:rsidR="002460BA">
        <w:t xml:space="preserve"> to preserve the institutional support for these classes. </w:t>
      </w:r>
    </w:p>
    <w:p w14:paraId="01F62A94" w14:textId="77777777" w:rsidR="007773E1" w:rsidRDefault="007773E1" w:rsidP="007773E1">
      <w:pPr>
        <w:pStyle w:val="ListParagraph"/>
        <w:numPr>
          <w:ilvl w:val="2"/>
          <w:numId w:val="1"/>
        </w:numPr>
      </w:pPr>
      <w:r>
        <w:t>Another committee member spoke i</w:t>
      </w:r>
      <w:r w:rsidR="002460BA">
        <w:t>n support of Dr. Harris’ effort to get WI classes in the sciences</w:t>
      </w:r>
      <w:r>
        <w:t xml:space="preserve">, explaining that </w:t>
      </w:r>
      <w:r w:rsidR="002460BA">
        <w:t xml:space="preserve">students are greatly in need of learning how to communicate scientific information and FSW would be a great place to start. </w:t>
      </w:r>
      <w:r>
        <w:t xml:space="preserve">Dr. </w:t>
      </w:r>
      <w:r w:rsidR="002460BA">
        <w:t xml:space="preserve">McClinton agreed enthusiastically. He says it’s also very important to clarify what WI means. </w:t>
      </w:r>
    </w:p>
    <w:p w14:paraId="43A1139C" w14:textId="77777777" w:rsidR="007773E1" w:rsidRDefault="007773E1" w:rsidP="007773E1">
      <w:pPr>
        <w:pStyle w:val="ListParagraph"/>
        <w:numPr>
          <w:ilvl w:val="2"/>
          <w:numId w:val="1"/>
        </w:numPr>
      </w:pPr>
      <w:r>
        <w:t>Professor Peterson</w:t>
      </w:r>
      <w:r w:rsidR="002460BA">
        <w:t xml:space="preserve"> says we should continue to explore this. </w:t>
      </w:r>
    </w:p>
    <w:p w14:paraId="5C3AC864" w14:textId="3172E486" w:rsidR="002460BA" w:rsidRDefault="002460BA" w:rsidP="002D7405">
      <w:pPr>
        <w:pStyle w:val="ListParagraph"/>
        <w:numPr>
          <w:ilvl w:val="2"/>
          <w:numId w:val="1"/>
        </w:numPr>
      </w:pPr>
      <w:r>
        <w:t>Professor Votraw ask</w:t>
      </w:r>
      <w:r w:rsidR="007773E1">
        <w:t>ed if</w:t>
      </w:r>
      <w:r>
        <w:t xml:space="preserve"> th</w:t>
      </w:r>
      <w:r w:rsidR="007773E1">
        <w:t>e</w:t>
      </w:r>
      <w:r>
        <w:t xml:space="preserve"> technical course </w:t>
      </w:r>
      <w:r w:rsidR="007773E1">
        <w:t>serve</w:t>
      </w:r>
      <w:r>
        <w:t xml:space="preserve"> as a pre-req</w:t>
      </w:r>
      <w:r w:rsidR="007773E1">
        <w:t>uisite</w:t>
      </w:r>
      <w:r>
        <w:t xml:space="preserve"> for </w:t>
      </w:r>
      <w:r w:rsidR="007773E1">
        <w:t xml:space="preserve">the </w:t>
      </w:r>
      <w:r>
        <w:t>capstone</w:t>
      </w:r>
      <w:r w:rsidR="007773E1">
        <w:t xml:space="preserve"> course.</w:t>
      </w:r>
      <w:r>
        <w:t xml:space="preserve"> Dr. Harris says it’s up to </w:t>
      </w:r>
      <w:r w:rsidR="007773E1">
        <w:t>Dr. Vivyan</w:t>
      </w:r>
      <w:r>
        <w:t xml:space="preserve">, but she imagines it’ll be </w:t>
      </w:r>
      <w:r>
        <w:lastRenderedPageBreak/>
        <w:t xml:space="preserve">updated to accommodate. Similarly, a batch memo could be used to update all courses in this similar situation.  </w:t>
      </w:r>
      <w:r w:rsidR="007773E1">
        <w:t xml:space="preserve">Dr. </w:t>
      </w:r>
      <w:r>
        <w:t xml:space="preserve">McClinton’s recommendation is to </w:t>
      </w:r>
      <w:r w:rsidR="007773E1">
        <w:t xml:space="preserve">generally </w:t>
      </w:r>
      <w:r>
        <w:t>make ENC 1101 required and either ENC 1102 or</w:t>
      </w:r>
      <w:r w:rsidR="007773E1">
        <w:t xml:space="preserve"> ENC</w:t>
      </w:r>
      <w:r>
        <w:t xml:space="preserve"> 2110. However, if ENC 2110 was required for a program specifically, then there could be future cases where students would only take </w:t>
      </w:r>
      <w:r w:rsidR="007773E1">
        <w:t xml:space="preserve">ENC </w:t>
      </w:r>
      <w:r>
        <w:t xml:space="preserve">2110. </w:t>
      </w:r>
    </w:p>
    <w:p w14:paraId="11C8164A" w14:textId="43634D33" w:rsidR="002460BA" w:rsidRDefault="002460BA" w:rsidP="002460BA">
      <w:pPr>
        <w:pStyle w:val="ListParagraph"/>
        <w:numPr>
          <w:ilvl w:val="1"/>
          <w:numId w:val="1"/>
        </w:numPr>
      </w:pPr>
      <w:r>
        <w:t xml:space="preserve">Membership updates (from </w:t>
      </w:r>
      <w:proofErr w:type="spellStart"/>
      <w:r>
        <w:t>SoBT</w:t>
      </w:r>
      <w:proofErr w:type="spellEnd"/>
      <w:r>
        <w:t xml:space="preserve"> and </w:t>
      </w:r>
      <w:proofErr w:type="spellStart"/>
      <w:r>
        <w:t>SoPAS</w:t>
      </w:r>
      <w:proofErr w:type="spellEnd"/>
      <w:r>
        <w:t>)</w:t>
      </w:r>
    </w:p>
    <w:p w14:paraId="53956947" w14:textId="7C2784A0" w:rsidR="002460BA" w:rsidRDefault="00AC2E90" w:rsidP="002460BA">
      <w:pPr>
        <w:pStyle w:val="ListParagraph"/>
        <w:numPr>
          <w:ilvl w:val="2"/>
          <w:numId w:val="1"/>
        </w:numPr>
      </w:pPr>
      <w:r>
        <w:t>Professor Peterson</w:t>
      </w:r>
      <w:r w:rsidR="002460BA">
        <w:t xml:space="preserve"> introduces new representatives. </w:t>
      </w:r>
    </w:p>
    <w:p w14:paraId="018C3149" w14:textId="67A9517F" w:rsidR="002460BA" w:rsidRDefault="002460BA" w:rsidP="002460BA">
      <w:pPr>
        <w:pStyle w:val="ListParagraph"/>
        <w:numPr>
          <w:ilvl w:val="2"/>
          <w:numId w:val="1"/>
        </w:numPr>
      </w:pPr>
      <w:r>
        <w:t xml:space="preserve">In </w:t>
      </w:r>
      <w:proofErr w:type="spellStart"/>
      <w:r>
        <w:t>SoBT</w:t>
      </w:r>
      <w:proofErr w:type="spellEnd"/>
      <w:r>
        <w:t xml:space="preserve">, Ken Belcher joins GEAC and introduces himself. </w:t>
      </w:r>
    </w:p>
    <w:p w14:paraId="65FBE76E" w14:textId="10416C05" w:rsidR="002460BA" w:rsidRDefault="002460BA" w:rsidP="002460BA">
      <w:pPr>
        <w:pStyle w:val="ListParagraph"/>
        <w:numPr>
          <w:ilvl w:val="2"/>
          <w:numId w:val="1"/>
        </w:numPr>
      </w:pPr>
      <w:r>
        <w:t xml:space="preserve">In </w:t>
      </w:r>
      <w:proofErr w:type="spellStart"/>
      <w:r>
        <w:t>SoPAS</w:t>
      </w:r>
      <w:proofErr w:type="spellEnd"/>
      <w:r>
        <w:t xml:space="preserve">, Esmaeel </w:t>
      </w:r>
      <w:proofErr w:type="spellStart"/>
      <w:r>
        <w:t>Samaliazed</w:t>
      </w:r>
      <w:proofErr w:type="spellEnd"/>
      <w:r>
        <w:t xml:space="preserve"> joins GEAC and introduces himself. </w:t>
      </w:r>
    </w:p>
    <w:p w14:paraId="440BCCB4" w14:textId="77777777" w:rsidR="002460BA" w:rsidRDefault="002460BA" w:rsidP="002460BA">
      <w:pPr>
        <w:pStyle w:val="ListParagraph"/>
        <w:numPr>
          <w:ilvl w:val="0"/>
          <w:numId w:val="1"/>
        </w:numPr>
      </w:pPr>
      <w:r>
        <w:t>Action Items</w:t>
      </w:r>
    </w:p>
    <w:p w14:paraId="268241FB" w14:textId="7B85EA8F" w:rsidR="002460BA" w:rsidRDefault="002460BA" w:rsidP="002D7405">
      <w:pPr>
        <w:pStyle w:val="ListParagraph"/>
        <w:numPr>
          <w:ilvl w:val="1"/>
          <w:numId w:val="1"/>
        </w:numPr>
      </w:pPr>
      <w:r>
        <w:t>Goals Updates:</w:t>
      </w:r>
      <w:r w:rsidR="002D7405">
        <w:t xml:space="preserve"> </w:t>
      </w:r>
      <w:r>
        <w:t>Professional Development opportunities</w:t>
      </w:r>
    </w:p>
    <w:p w14:paraId="022AFAD5" w14:textId="19375DAD" w:rsidR="002460BA" w:rsidRDefault="002460BA" w:rsidP="002460BA">
      <w:pPr>
        <w:pStyle w:val="ListParagraph"/>
        <w:numPr>
          <w:ilvl w:val="2"/>
          <w:numId w:val="1"/>
        </w:numPr>
      </w:pPr>
      <w:r>
        <w:t>CLOs – Should we offer any professional development opportunities to assist faculty in writing CLOs</w:t>
      </w:r>
      <w:r w:rsidR="002D7405">
        <w:t>?</w:t>
      </w:r>
    </w:p>
    <w:p w14:paraId="042AF157" w14:textId="1533714E" w:rsidR="002460BA" w:rsidRDefault="002460BA" w:rsidP="002460BA">
      <w:pPr>
        <w:pStyle w:val="ListParagraph"/>
        <w:numPr>
          <w:ilvl w:val="2"/>
          <w:numId w:val="1"/>
        </w:numPr>
      </w:pPr>
      <w:r>
        <w:t xml:space="preserve">Professor Ransford said during convocation day, there was a captive audience, but </w:t>
      </w:r>
      <w:r w:rsidR="002D7405">
        <w:t xml:space="preserve">he asks </w:t>
      </w:r>
      <w:r>
        <w:t xml:space="preserve">how could we go about gaining interest in this now? </w:t>
      </w:r>
      <w:r w:rsidR="002D7405">
        <w:t xml:space="preserve">He suggests </w:t>
      </w:r>
      <w:r>
        <w:t>an alternative approach</w:t>
      </w:r>
      <w:r w:rsidR="002D7405">
        <w:t>,</w:t>
      </w:r>
      <w:r>
        <w:t xml:space="preserve"> like a Canvas course with a group discussion follow-up. </w:t>
      </w:r>
    </w:p>
    <w:p w14:paraId="36F3F349" w14:textId="65F4A977" w:rsidR="002460BA" w:rsidRDefault="002460BA" w:rsidP="002460BA">
      <w:pPr>
        <w:pStyle w:val="ListParagraph"/>
        <w:numPr>
          <w:ilvl w:val="2"/>
          <w:numId w:val="1"/>
        </w:numPr>
      </w:pPr>
      <w:r>
        <w:t xml:space="preserve">Dr. Schott expressed support for Professor Ransford’s asynchronous idea. She adds that it would be useful to have the CREATIVE competencies listed somewhere that is easily accessible. </w:t>
      </w:r>
    </w:p>
    <w:p w14:paraId="524C0ED4" w14:textId="0B76F496" w:rsidR="002460BA" w:rsidRDefault="002D7405" w:rsidP="002460BA">
      <w:pPr>
        <w:pStyle w:val="ListParagraph"/>
        <w:numPr>
          <w:ilvl w:val="2"/>
          <w:numId w:val="1"/>
        </w:numPr>
      </w:pPr>
      <w:r>
        <w:t>Professor Peterson</w:t>
      </w:r>
      <w:r w:rsidR="002460BA">
        <w:t xml:space="preserve"> asks</w:t>
      </w:r>
      <w:r>
        <w:t xml:space="preserve"> the committee</w:t>
      </w:r>
      <w:r w:rsidR="002460BA">
        <w:t xml:space="preserve"> if </w:t>
      </w:r>
      <w:r>
        <w:t>CLOs are</w:t>
      </w:r>
      <w:r w:rsidR="002460BA">
        <w:t xml:space="preserve"> covered in DEV 101. </w:t>
      </w:r>
      <w:r w:rsidR="00AC2E90">
        <w:t>Dr.</w:t>
      </w:r>
      <w:r>
        <w:t xml:space="preserve"> </w:t>
      </w:r>
      <w:proofErr w:type="spellStart"/>
      <w:r>
        <w:t>Minardi</w:t>
      </w:r>
      <w:proofErr w:type="spellEnd"/>
      <w:r w:rsidR="00AC2E90">
        <w:t xml:space="preserve"> </w:t>
      </w:r>
      <w:r>
        <w:t>Power</w:t>
      </w:r>
      <w:r w:rsidR="002460BA">
        <w:t xml:space="preserve"> </w:t>
      </w:r>
      <w:r>
        <w:t>answered</w:t>
      </w:r>
      <w:r w:rsidR="002460BA">
        <w:t xml:space="preserve"> </w:t>
      </w:r>
      <w:r>
        <w:t>that DEV 101</w:t>
      </w:r>
      <w:r w:rsidR="002460BA">
        <w:t xml:space="preserve"> is more about assessments.</w:t>
      </w:r>
    </w:p>
    <w:p w14:paraId="120E3129" w14:textId="45B8B483" w:rsidR="002460BA" w:rsidRDefault="002460BA" w:rsidP="002460BA">
      <w:pPr>
        <w:pStyle w:val="ListParagraph"/>
        <w:numPr>
          <w:ilvl w:val="0"/>
          <w:numId w:val="1"/>
        </w:numPr>
      </w:pPr>
      <w:r>
        <w:t>Reports/Updates from departments or committees</w:t>
      </w:r>
    </w:p>
    <w:p w14:paraId="49F74544" w14:textId="77777777" w:rsidR="002D7405" w:rsidRDefault="002460BA" w:rsidP="002460BA">
      <w:pPr>
        <w:pStyle w:val="ListParagraph"/>
        <w:numPr>
          <w:ilvl w:val="1"/>
          <w:numId w:val="1"/>
        </w:numPr>
      </w:pPr>
      <w:r>
        <w:t>Professor Peterson asks</w:t>
      </w:r>
      <w:r w:rsidR="002D7405">
        <w:t xml:space="preserve"> Dr.</w:t>
      </w:r>
      <w:r>
        <w:t xml:space="preserve"> McClinton and Dr. Harris for an update on SB 266. </w:t>
      </w:r>
    </w:p>
    <w:p w14:paraId="249CE8D2" w14:textId="77777777" w:rsidR="002D7405" w:rsidRDefault="002460BA" w:rsidP="002D7405">
      <w:pPr>
        <w:pStyle w:val="ListParagraph"/>
        <w:numPr>
          <w:ilvl w:val="2"/>
          <w:numId w:val="1"/>
        </w:numPr>
      </w:pPr>
      <w:r>
        <w:t xml:space="preserve">Dr. McClinton reviews the bill and explains that a </w:t>
      </w:r>
      <w:r w:rsidR="002D7405">
        <w:t xml:space="preserve">general education </w:t>
      </w:r>
      <w:r>
        <w:t xml:space="preserve">review will happen every four years. By Dec 2024, </w:t>
      </w:r>
      <w:r w:rsidR="002D7405">
        <w:t>FSW has</w:t>
      </w:r>
      <w:r>
        <w:t xml:space="preserve"> to </w:t>
      </w:r>
      <w:r w:rsidR="002D7405">
        <w:t>report to</w:t>
      </w:r>
      <w:r>
        <w:t xml:space="preserve"> the state all course</w:t>
      </w:r>
      <w:r w:rsidR="002D7405">
        <w:t xml:space="preserve">s, </w:t>
      </w:r>
      <w:r>
        <w:t>indicat</w:t>
      </w:r>
      <w:r w:rsidR="002D7405">
        <w:t>ing</w:t>
      </w:r>
      <w:r>
        <w:t xml:space="preserve"> what </w:t>
      </w:r>
      <w:r w:rsidR="002D7405">
        <w:t>each course</w:t>
      </w:r>
      <w:r>
        <w:t xml:space="preserve"> counts for</w:t>
      </w:r>
      <w:r w:rsidR="002D7405">
        <w:t xml:space="preserve"> and </w:t>
      </w:r>
      <w:r>
        <w:t>identify how many other state universities and colleges that offer th</w:t>
      </w:r>
      <w:r w:rsidR="002D7405">
        <w:t>e</w:t>
      </w:r>
      <w:r>
        <w:t xml:space="preserve"> course</w:t>
      </w:r>
      <w:r w:rsidR="002D7405">
        <w:t>s</w:t>
      </w:r>
      <w:r>
        <w:t xml:space="preserve">. </w:t>
      </w:r>
      <w:r w:rsidR="002D7405">
        <w:t xml:space="preserve">He mentions that FSW </w:t>
      </w:r>
      <w:r>
        <w:t xml:space="preserve">also </w:t>
      </w:r>
      <w:r w:rsidR="002D7405">
        <w:t>needs to have general education courses</w:t>
      </w:r>
      <w:r>
        <w:t xml:space="preserve"> approved by the board</w:t>
      </w:r>
      <w:r w:rsidR="002D7405">
        <w:t>.</w:t>
      </w:r>
      <w:r>
        <w:t xml:space="preserve"> </w:t>
      </w:r>
    </w:p>
    <w:p w14:paraId="714190CB" w14:textId="769C007E" w:rsidR="002D7405" w:rsidRDefault="002460BA" w:rsidP="002D7405">
      <w:pPr>
        <w:pStyle w:val="ListParagraph"/>
        <w:numPr>
          <w:ilvl w:val="2"/>
          <w:numId w:val="1"/>
        </w:numPr>
      </w:pPr>
      <w:r>
        <w:t xml:space="preserve">The </w:t>
      </w:r>
      <w:r w:rsidR="002D7405">
        <w:t>state general education</w:t>
      </w:r>
      <w:r>
        <w:t xml:space="preserve"> course list was developed by faculty around the state. </w:t>
      </w:r>
      <w:r w:rsidR="00AC2E90">
        <w:t>Dr.</w:t>
      </w:r>
      <w:r w:rsidR="002D7405">
        <w:t xml:space="preserve"> </w:t>
      </w:r>
      <w:r>
        <w:t>Phil Wis</w:t>
      </w:r>
      <w:r w:rsidR="00AC2E90">
        <w:t>e</w:t>
      </w:r>
      <w:r>
        <w:t xml:space="preserve">ley represented FSW. The course list aligns well with FSW core courses, so </w:t>
      </w:r>
      <w:r w:rsidR="002D7405">
        <w:t>FSW general education courses</w:t>
      </w:r>
      <w:r>
        <w:t xml:space="preserve"> shouldn’t change too much. Courses that may face issues staying in our gen ed core are ones that aren’t offered at many other institutions. </w:t>
      </w:r>
    </w:p>
    <w:p w14:paraId="3FC9DD8E" w14:textId="77777777" w:rsidR="002D7405" w:rsidRDefault="002460BA" w:rsidP="002D7405">
      <w:pPr>
        <w:pStyle w:val="ListParagraph"/>
        <w:numPr>
          <w:ilvl w:val="2"/>
          <w:numId w:val="1"/>
        </w:numPr>
      </w:pPr>
      <w:r>
        <w:t xml:space="preserve">Here is the </w:t>
      </w:r>
      <w:r w:rsidR="002D7405">
        <w:t xml:space="preserve">general education course </w:t>
      </w:r>
      <w:r>
        <w:t xml:space="preserve">list: </w:t>
      </w:r>
      <w:hyperlink r:id="rId5" w:history="1">
        <w:r w:rsidRPr="00737503">
          <w:rPr>
            <w:rStyle w:val="Hyperlink"/>
          </w:rPr>
          <w:t>https://www.fldoe.org/core/fileparse.php/7744/urlt/101323ACCAgenda-A.pdf</w:t>
        </w:r>
      </w:hyperlink>
      <w:r>
        <w:t xml:space="preserve"> </w:t>
      </w:r>
    </w:p>
    <w:p w14:paraId="01352552" w14:textId="7354C98C" w:rsidR="002460BA" w:rsidRDefault="002460BA" w:rsidP="002D7405">
      <w:pPr>
        <w:pStyle w:val="ListParagraph"/>
        <w:numPr>
          <w:ilvl w:val="2"/>
          <w:numId w:val="1"/>
        </w:numPr>
      </w:pPr>
      <w:r>
        <w:t xml:space="preserve">Dr. Harris suggests </w:t>
      </w:r>
      <w:r w:rsidR="002D7405">
        <w:t xml:space="preserve">that GEAC members review with their departments which of their </w:t>
      </w:r>
      <w:r>
        <w:t>courses count as ge</w:t>
      </w:r>
      <w:r w:rsidR="002D7405">
        <w:t>neral education and</w:t>
      </w:r>
      <w:r>
        <w:t xml:space="preserve"> how frequently </w:t>
      </w:r>
      <w:r w:rsidR="002D7405">
        <w:t>the courses are</w:t>
      </w:r>
      <w:r>
        <w:t xml:space="preserve"> taught across state institutions. Th</w:t>
      </w:r>
      <w:r w:rsidR="002D7405">
        <w:t xml:space="preserve">is </w:t>
      </w:r>
      <w:r>
        <w:t>migh</w:t>
      </w:r>
      <w:r w:rsidR="002D7405">
        <w:t>t</w:t>
      </w:r>
      <w:r>
        <w:t xml:space="preserve"> prepare</w:t>
      </w:r>
      <w:r w:rsidR="002D7405">
        <w:t xml:space="preserve"> departments</w:t>
      </w:r>
      <w:r>
        <w:t xml:space="preserve"> for upcoming changes</w:t>
      </w:r>
      <w:r w:rsidR="002D7405">
        <w:t xml:space="preserve"> by the state. </w:t>
      </w:r>
    </w:p>
    <w:p w14:paraId="0124F9D4" w14:textId="3F2977A4" w:rsidR="002460BA" w:rsidRDefault="002460BA" w:rsidP="002460BA">
      <w:pPr>
        <w:pStyle w:val="ListParagraph"/>
        <w:numPr>
          <w:ilvl w:val="0"/>
          <w:numId w:val="1"/>
        </w:numPr>
      </w:pPr>
      <w:r>
        <w:t xml:space="preserve">The meeting adjourned at 11:16pm. </w:t>
      </w:r>
    </w:p>
    <w:p w14:paraId="111DF0C3" w14:textId="77777777" w:rsidR="002460BA" w:rsidRDefault="002460BA"/>
    <w:sectPr w:rsidR="002460BA" w:rsidSect="00E7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1B51"/>
    <w:multiLevelType w:val="hybridMultilevel"/>
    <w:tmpl w:val="420C35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9E04A2"/>
    <w:multiLevelType w:val="hybridMultilevel"/>
    <w:tmpl w:val="A630EBF8"/>
    <w:lvl w:ilvl="0" w:tplc="E1D8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BA"/>
    <w:rsid w:val="00162727"/>
    <w:rsid w:val="002460BA"/>
    <w:rsid w:val="002D7405"/>
    <w:rsid w:val="007773E1"/>
    <w:rsid w:val="00AC2E90"/>
    <w:rsid w:val="00E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FBD6"/>
  <w15:chartTrackingRefBased/>
  <w15:docId w15:val="{1A460B8D-F865-1343-93C9-DA8B9214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0B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46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ldoe.org/core/fileparse.php/7744/urlt/101323ACCAgenda-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Votraw</dc:creator>
  <cp:keywords/>
  <dc:description/>
  <cp:lastModifiedBy>Dani L. Peterson</cp:lastModifiedBy>
  <cp:revision>2</cp:revision>
  <dcterms:created xsi:type="dcterms:W3CDTF">2023-11-16T14:34:00Z</dcterms:created>
  <dcterms:modified xsi:type="dcterms:W3CDTF">2023-11-16T14:34:00Z</dcterms:modified>
</cp:coreProperties>
</file>