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9BE1C" w14:textId="77777777" w:rsidR="00BA0F2F" w:rsidRPr="00C5576C" w:rsidRDefault="00BA0F2F" w:rsidP="00BA0F2F">
      <w:pPr>
        <w:jc w:val="center"/>
        <w:rPr>
          <w:rFonts w:cs="Times New Roman"/>
          <w:b/>
          <w:bCs/>
        </w:rPr>
      </w:pPr>
      <w:r w:rsidRPr="00C5576C">
        <w:rPr>
          <w:rFonts w:cs="Times New Roman"/>
          <w:b/>
          <w:bCs/>
        </w:rPr>
        <w:t>Continuing Contract Review Committee</w:t>
      </w:r>
    </w:p>
    <w:p w14:paraId="06DF1337" w14:textId="4D77780A" w:rsidR="00BA0F2F" w:rsidRPr="00C5576C" w:rsidRDefault="00BA0F2F" w:rsidP="00BA0F2F">
      <w:pPr>
        <w:jc w:val="center"/>
        <w:rPr>
          <w:rFonts w:cs="Times New Roman"/>
          <w:b/>
          <w:bCs/>
        </w:rPr>
      </w:pPr>
      <w:r w:rsidRPr="00C5576C">
        <w:rPr>
          <w:rFonts w:cs="Times New Roman"/>
          <w:b/>
          <w:bCs/>
        </w:rPr>
        <w:t>(</w:t>
      </w:r>
      <w:r>
        <w:rPr>
          <w:rFonts w:cs="Times New Roman"/>
          <w:b/>
          <w:bCs/>
        </w:rPr>
        <w:t>Meeting Minutes</w:t>
      </w:r>
      <w:r w:rsidRPr="00C5576C">
        <w:rPr>
          <w:rFonts w:cs="Times New Roman"/>
          <w:b/>
          <w:bCs/>
        </w:rPr>
        <w:t>)</w:t>
      </w:r>
    </w:p>
    <w:p w14:paraId="36F0CCB1" w14:textId="77777777" w:rsidR="00BA0F2F" w:rsidRPr="00C5576C" w:rsidRDefault="00BA0F2F" w:rsidP="00BA0F2F">
      <w:pPr>
        <w:rPr>
          <w:rFonts w:cs="Times New Roman"/>
          <w:b/>
          <w:bCs/>
        </w:rPr>
      </w:pPr>
    </w:p>
    <w:p w14:paraId="4EE9867B" w14:textId="297A976C" w:rsidR="00BA0F2F" w:rsidRPr="00C5576C" w:rsidRDefault="00BA0F2F" w:rsidP="00BA0F2F">
      <w:pPr>
        <w:rPr>
          <w:rFonts w:cs="Times New Roman"/>
        </w:rPr>
      </w:pPr>
      <w:r w:rsidRPr="00C5576C">
        <w:rPr>
          <w:rFonts w:cs="Times New Roman"/>
        </w:rPr>
        <w:t xml:space="preserve">Meeting Date: </w:t>
      </w:r>
      <w:r>
        <w:rPr>
          <w:rFonts w:cs="Times New Roman"/>
        </w:rPr>
        <w:t>13</w:t>
      </w:r>
      <w:r w:rsidRPr="00C5576C">
        <w:rPr>
          <w:rFonts w:cs="Times New Roman"/>
        </w:rPr>
        <w:t xml:space="preserve"> </w:t>
      </w:r>
      <w:r>
        <w:rPr>
          <w:rFonts w:cs="Times New Roman"/>
        </w:rPr>
        <w:t>October</w:t>
      </w:r>
      <w:r w:rsidRPr="00C5576C">
        <w:rPr>
          <w:rFonts w:cs="Times New Roman"/>
        </w:rPr>
        <w:t xml:space="preserve"> 2023</w:t>
      </w:r>
    </w:p>
    <w:p w14:paraId="6FD8F0E7" w14:textId="77777777" w:rsidR="00BA0F2F" w:rsidRPr="000913B5" w:rsidRDefault="00BA0F2F" w:rsidP="00BA0F2F">
      <w:pPr>
        <w:rPr>
          <w:rFonts w:cs="Times New Roman"/>
          <w:color w:val="616074"/>
          <w:kern w:val="0"/>
        </w:rPr>
      </w:pPr>
      <w:r w:rsidRPr="000913B5">
        <w:rPr>
          <w:rFonts w:cs="Times New Roman"/>
        </w:rPr>
        <w:t xml:space="preserve">Zoom ID: </w:t>
      </w:r>
      <w:proofErr w:type="gramStart"/>
      <w:r w:rsidRPr="000913B5">
        <w:rPr>
          <w:rFonts w:cs="Times New Roman"/>
          <w:color w:val="616074"/>
          <w:kern w:val="0"/>
        </w:rPr>
        <w:t>https://fsw.zoom.us/j/81942832790</w:t>
      </w:r>
      <w:proofErr w:type="gramEnd"/>
    </w:p>
    <w:p w14:paraId="709EAE0C" w14:textId="77777777" w:rsidR="00BA0F2F" w:rsidRPr="00C5576C" w:rsidRDefault="00BA0F2F" w:rsidP="00BA0F2F">
      <w:pPr>
        <w:rPr>
          <w:rFonts w:cs="Times New Roman"/>
          <w:color w:val="616074"/>
          <w:kern w:val="0"/>
        </w:rPr>
      </w:pPr>
    </w:p>
    <w:p w14:paraId="1288045D" w14:textId="77777777" w:rsidR="00BA0F2F" w:rsidRDefault="00BA0F2F" w:rsidP="00BA0F2F">
      <w:pPr>
        <w:pStyle w:val="ListParagraph"/>
        <w:numPr>
          <w:ilvl w:val="0"/>
          <w:numId w:val="1"/>
        </w:numPr>
        <w:rPr>
          <w:rFonts w:cs="Times New Roman"/>
          <w:color w:val="000000" w:themeColor="text1"/>
          <w:kern w:val="0"/>
        </w:rPr>
      </w:pPr>
      <w:r>
        <w:rPr>
          <w:rFonts w:cs="Times New Roman"/>
          <w:color w:val="000000" w:themeColor="text1"/>
          <w:kern w:val="0"/>
        </w:rPr>
        <w:t>Welcome and Updates – Dr. Shawn Moore</w:t>
      </w:r>
    </w:p>
    <w:p w14:paraId="071C1CF6" w14:textId="77777777" w:rsidR="00BA0F2F" w:rsidRPr="00E91AFB" w:rsidRDefault="00BA0F2F" w:rsidP="00BA0F2F">
      <w:pPr>
        <w:pStyle w:val="ListParagraph"/>
        <w:numPr>
          <w:ilvl w:val="0"/>
          <w:numId w:val="1"/>
        </w:numPr>
        <w:rPr>
          <w:rFonts w:cs="Times New Roman"/>
          <w:color w:val="000000" w:themeColor="text1"/>
          <w:kern w:val="0"/>
        </w:rPr>
      </w:pPr>
      <w:r>
        <w:rPr>
          <w:rFonts w:cs="Times New Roman"/>
          <w:color w:val="000000" w:themeColor="text1"/>
          <w:kern w:val="0"/>
        </w:rPr>
        <w:t xml:space="preserve">Updates on the Current CCRC Timeline – (see schedule: </w:t>
      </w:r>
      <w:hyperlink r:id="rId5" w:history="1">
        <w:r w:rsidRPr="000913B5">
          <w:rPr>
            <w:rStyle w:val="Hyperlink"/>
            <w:rFonts w:cs="Times New Roman"/>
            <w:shd w:val="clear" w:color="auto" w:fill="FFFFFF"/>
          </w:rPr>
          <w:t>https://gamma.app/public/Initial-Granting-of-Continuing-Contract-FEP-ePortfolio-Timeline-9h5su8auoe728pf</w:t>
        </w:r>
      </w:hyperlink>
      <w:r w:rsidRPr="000913B5">
        <w:rPr>
          <w:rFonts w:cs="Times New Roman"/>
          <w:color w:val="3C3838"/>
          <w:shd w:val="clear" w:color="auto" w:fill="FFFFFF"/>
        </w:rPr>
        <w:t xml:space="preserve">) </w:t>
      </w:r>
    </w:p>
    <w:p w14:paraId="48F05444" w14:textId="738B8114" w:rsidR="00E91AFB" w:rsidRPr="000913B5" w:rsidRDefault="00E91AFB" w:rsidP="00E91AFB">
      <w:pPr>
        <w:pStyle w:val="ListParagraph"/>
        <w:numPr>
          <w:ilvl w:val="1"/>
          <w:numId w:val="1"/>
        </w:numPr>
        <w:rPr>
          <w:rFonts w:cs="Times New Roman"/>
          <w:color w:val="000000" w:themeColor="text1"/>
          <w:kern w:val="0"/>
        </w:rPr>
      </w:pPr>
      <w:r>
        <w:rPr>
          <w:rFonts w:cs="Times New Roman"/>
          <w:color w:val="3C3838"/>
          <w:shd w:val="clear" w:color="auto" w:fill="FFFFFF"/>
        </w:rPr>
        <w:t>The timeline was discussed, and the next steps were shared with the committee and included below (see: Next Steps in the IGCC Process)</w:t>
      </w:r>
    </w:p>
    <w:p w14:paraId="5C8FAD2E" w14:textId="77777777" w:rsidR="00BA0F2F" w:rsidRPr="00E91AFB" w:rsidRDefault="00BA0F2F" w:rsidP="00BA0F2F">
      <w:pPr>
        <w:pStyle w:val="ListParagraph"/>
        <w:numPr>
          <w:ilvl w:val="0"/>
          <w:numId w:val="1"/>
        </w:numPr>
        <w:rPr>
          <w:rFonts w:cs="Times New Roman"/>
          <w:color w:val="000000" w:themeColor="text1"/>
          <w:kern w:val="0"/>
        </w:rPr>
      </w:pPr>
      <w:r>
        <w:rPr>
          <w:rFonts w:cs="Times New Roman"/>
          <w:color w:val="3C3838"/>
          <w:shd w:val="clear" w:color="auto" w:fill="FFFFFF"/>
        </w:rPr>
        <w:t>Deans and Sub-Committee Members all have access and should be currently reviewing portfolios.</w:t>
      </w:r>
    </w:p>
    <w:p w14:paraId="4673AEFF" w14:textId="31F3ADC5" w:rsidR="00E91AFB" w:rsidRPr="000913B5" w:rsidRDefault="00E91AFB" w:rsidP="00E91AFB">
      <w:pPr>
        <w:pStyle w:val="ListParagraph"/>
        <w:numPr>
          <w:ilvl w:val="1"/>
          <w:numId w:val="1"/>
        </w:numPr>
        <w:rPr>
          <w:rFonts w:cs="Times New Roman"/>
          <w:color w:val="000000" w:themeColor="text1"/>
          <w:kern w:val="0"/>
        </w:rPr>
      </w:pPr>
      <w:r>
        <w:rPr>
          <w:rFonts w:cs="Times New Roman"/>
          <w:color w:val="3C3838"/>
          <w:shd w:val="clear" w:color="auto" w:fill="FFFFFF"/>
        </w:rPr>
        <w:t>All Deans were able to verify that the sub-committee members were all eligible to serve.</w:t>
      </w:r>
    </w:p>
    <w:p w14:paraId="0EF3B72C" w14:textId="77777777" w:rsidR="00BA0F2F" w:rsidRPr="00B0156F" w:rsidRDefault="00BA0F2F" w:rsidP="00BA0F2F">
      <w:pPr>
        <w:pStyle w:val="ListParagraph"/>
        <w:numPr>
          <w:ilvl w:val="0"/>
          <w:numId w:val="1"/>
        </w:numPr>
        <w:rPr>
          <w:rFonts w:cs="Times New Roman"/>
          <w:color w:val="000000" w:themeColor="text1"/>
          <w:kern w:val="0"/>
        </w:rPr>
      </w:pPr>
      <w:r w:rsidRPr="00B0156F">
        <w:rPr>
          <w:rFonts w:cs="Times New Roman"/>
          <w:color w:val="000000" w:themeColor="text1"/>
          <w:kern w:val="0"/>
        </w:rPr>
        <w:t>Sub-Committee Updates</w:t>
      </w:r>
    </w:p>
    <w:p w14:paraId="36C6D752" w14:textId="77777777" w:rsidR="00BA0F2F" w:rsidRDefault="00BA0F2F" w:rsidP="00BA0F2F">
      <w:pPr>
        <w:pStyle w:val="ListParagraph"/>
        <w:numPr>
          <w:ilvl w:val="1"/>
          <w:numId w:val="1"/>
        </w:numPr>
        <w:rPr>
          <w:rFonts w:cs="Times New Roman"/>
          <w:color w:val="000000" w:themeColor="text1"/>
          <w:kern w:val="0"/>
        </w:rPr>
      </w:pPr>
      <w:r>
        <w:rPr>
          <w:rFonts w:cs="Times New Roman"/>
          <w:color w:val="000000" w:themeColor="text1"/>
          <w:kern w:val="0"/>
        </w:rPr>
        <w:t>Thanks to Dr. Ortolano, we found some old videos of Russell explaining the full process. I spoke with Dr. McClinton about updating these and making newer videos for the process and so I’ll work with him on making those (ideas needed!)</w:t>
      </w:r>
    </w:p>
    <w:p w14:paraId="053F3172" w14:textId="77777777" w:rsidR="00BA0F2F" w:rsidRDefault="00BA0F2F" w:rsidP="00BA0F2F">
      <w:pPr>
        <w:pStyle w:val="ListParagraph"/>
        <w:numPr>
          <w:ilvl w:val="2"/>
          <w:numId w:val="1"/>
        </w:numPr>
        <w:rPr>
          <w:rFonts w:cs="Times New Roman"/>
          <w:color w:val="000000" w:themeColor="text1"/>
          <w:kern w:val="0"/>
        </w:rPr>
      </w:pPr>
      <w:r>
        <w:rPr>
          <w:rFonts w:cs="Times New Roman"/>
          <w:color w:val="000000" w:themeColor="text1"/>
          <w:kern w:val="0"/>
        </w:rPr>
        <w:t>I did send out a video regarding the sub-committee structure, deadlines, and CNA specific information regarding the process including how to pick a sub-committee chair.</w:t>
      </w:r>
    </w:p>
    <w:p w14:paraId="64588EEB" w14:textId="77777777" w:rsidR="00BA0F2F" w:rsidRDefault="00BA0F2F" w:rsidP="00BA0F2F">
      <w:pPr>
        <w:pStyle w:val="ListParagraph"/>
        <w:numPr>
          <w:ilvl w:val="2"/>
          <w:numId w:val="1"/>
        </w:numPr>
        <w:rPr>
          <w:rFonts w:cs="Times New Roman"/>
          <w:color w:val="000000" w:themeColor="text1"/>
          <w:kern w:val="0"/>
        </w:rPr>
      </w:pPr>
      <w:r>
        <w:rPr>
          <w:rFonts w:cs="Times New Roman"/>
          <w:color w:val="000000" w:themeColor="text1"/>
          <w:kern w:val="0"/>
        </w:rPr>
        <w:t>Another short PD will be announced soon (volunteers welcome)</w:t>
      </w:r>
    </w:p>
    <w:p w14:paraId="7414518E" w14:textId="21262E66" w:rsidR="00E91AFB" w:rsidRDefault="00E91AFB" w:rsidP="00BA0F2F">
      <w:pPr>
        <w:pStyle w:val="ListParagraph"/>
        <w:numPr>
          <w:ilvl w:val="2"/>
          <w:numId w:val="1"/>
        </w:numPr>
        <w:rPr>
          <w:rFonts w:cs="Times New Roman"/>
          <w:color w:val="000000" w:themeColor="text1"/>
          <w:kern w:val="0"/>
        </w:rPr>
      </w:pPr>
      <w:r>
        <w:rPr>
          <w:rFonts w:cs="Times New Roman"/>
          <w:color w:val="000000" w:themeColor="text1"/>
          <w:kern w:val="0"/>
        </w:rPr>
        <w:t>We discussed working with Dr. Jester over the spring semester to suggest updates and changes to the process and to Canvas portfolios.</w:t>
      </w:r>
    </w:p>
    <w:p w14:paraId="28051627" w14:textId="6A2DD288" w:rsidR="00E91AFB" w:rsidRPr="00B0156F" w:rsidRDefault="00E91AFB" w:rsidP="00E91AFB">
      <w:pPr>
        <w:pStyle w:val="ListParagraph"/>
        <w:numPr>
          <w:ilvl w:val="2"/>
          <w:numId w:val="1"/>
        </w:numPr>
        <w:rPr>
          <w:rFonts w:cs="Times New Roman"/>
          <w:color w:val="000000" w:themeColor="text1"/>
          <w:kern w:val="0"/>
        </w:rPr>
      </w:pPr>
      <w:r>
        <w:rPr>
          <w:rFonts w:cs="Times New Roman"/>
          <w:color w:val="000000" w:themeColor="text1"/>
          <w:kern w:val="0"/>
        </w:rPr>
        <w:t>Jennifer Summary noted that James already had information from previous years that should be discussed and shared during the next meeting.</w:t>
      </w:r>
    </w:p>
    <w:p w14:paraId="346FC987" w14:textId="77777777" w:rsidR="00BA0F2F" w:rsidRDefault="00BA0F2F" w:rsidP="00BA0F2F">
      <w:pPr>
        <w:pStyle w:val="ListParagraph"/>
        <w:numPr>
          <w:ilvl w:val="0"/>
          <w:numId w:val="1"/>
        </w:numPr>
        <w:rPr>
          <w:rFonts w:cs="Times New Roman"/>
          <w:color w:val="000000" w:themeColor="text1"/>
          <w:kern w:val="0"/>
        </w:rPr>
      </w:pPr>
      <w:r>
        <w:rPr>
          <w:rFonts w:cs="Times New Roman"/>
          <w:color w:val="000000" w:themeColor="text1"/>
          <w:kern w:val="0"/>
        </w:rPr>
        <w:t>Other Business</w:t>
      </w:r>
    </w:p>
    <w:p w14:paraId="3F93190F" w14:textId="77777777" w:rsidR="00BA0F2F" w:rsidRDefault="00BA0F2F" w:rsidP="00BA0F2F">
      <w:pPr>
        <w:pStyle w:val="ListParagraph"/>
        <w:numPr>
          <w:ilvl w:val="1"/>
          <w:numId w:val="1"/>
        </w:numPr>
        <w:rPr>
          <w:rFonts w:cs="Times New Roman"/>
          <w:color w:val="000000" w:themeColor="text1"/>
          <w:kern w:val="0"/>
        </w:rPr>
      </w:pPr>
      <w:r>
        <w:rPr>
          <w:rFonts w:cs="Times New Roman"/>
          <w:color w:val="000000" w:themeColor="text1"/>
          <w:kern w:val="0"/>
        </w:rPr>
        <w:t>November 17</w:t>
      </w:r>
      <w:r w:rsidRPr="000913B5">
        <w:rPr>
          <w:rFonts w:cs="Times New Roman"/>
          <w:color w:val="000000" w:themeColor="text1"/>
          <w:kern w:val="0"/>
          <w:vertAlign w:val="superscript"/>
        </w:rPr>
        <w:t>th</w:t>
      </w:r>
      <w:r>
        <w:rPr>
          <w:rFonts w:cs="Times New Roman"/>
          <w:color w:val="000000" w:themeColor="text1"/>
          <w:kern w:val="0"/>
        </w:rPr>
        <w:t xml:space="preserve"> will be the next big deadline. Sub-committees should have scheduled and met with the candidates. The PD and the next video will cover this process. </w:t>
      </w:r>
    </w:p>
    <w:p w14:paraId="4B15CCB0" w14:textId="6529B508" w:rsidR="00E91AFB" w:rsidRDefault="00E91AFB" w:rsidP="00E91AFB">
      <w:pPr>
        <w:pStyle w:val="ListParagraph"/>
        <w:numPr>
          <w:ilvl w:val="2"/>
          <w:numId w:val="1"/>
        </w:numPr>
        <w:rPr>
          <w:rFonts w:cs="Times New Roman"/>
          <w:color w:val="000000" w:themeColor="text1"/>
          <w:kern w:val="0"/>
        </w:rPr>
      </w:pPr>
      <w:r>
        <w:rPr>
          <w:rFonts w:cs="Times New Roman"/>
          <w:color w:val="000000" w:themeColor="text1"/>
          <w:kern w:val="0"/>
        </w:rPr>
        <w:t xml:space="preserve">This process has begun and so </w:t>
      </w:r>
      <w:proofErr w:type="gramStart"/>
      <w:r>
        <w:rPr>
          <w:rFonts w:cs="Times New Roman"/>
          <w:color w:val="000000" w:themeColor="text1"/>
          <w:kern w:val="0"/>
        </w:rPr>
        <w:t>far</w:t>
      </w:r>
      <w:proofErr w:type="gramEnd"/>
      <w:r>
        <w:rPr>
          <w:rFonts w:cs="Times New Roman"/>
          <w:color w:val="000000" w:themeColor="text1"/>
          <w:kern w:val="0"/>
        </w:rPr>
        <w:t xml:space="preserve"> there are no issues.</w:t>
      </w:r>
    </w:p>
    <w:p w14:paraId="09352633" w14:textId="77777777" w:rsidR="00BA0F2F" w:rsidRDefault="00BA0F2F" w:rsidP="00BA0F2F">
      <w:pPr>
        <w:pStyle w:val="ListParagraph"/>
        <w:numPr>
          <w:ilvl w:val="1"/>
          <w:numId w:val="1"/>
        </w:numPr>
        <w:rPr>
          <w:rFonts w:cs="Times New Roman"/>
          <w:color w:val="000000" w:themeColor="text1"/>
          <w:kern w:val="0"/>
        </w:rPr>
      </w:pPr>
      <w:r>
        <w:rPr>
          <w:rFonts w:cs="Times New Roman"/>
          <w:color w:val="000000" w:themeColor="text1"/>
          <w:kern w:val="0"/>
        </w:rPr>
        <w:t>Roz Jester asked us to discuss an issue with new faculty and their Canvas portfolios and possibilities for rethinking the structure of the Canvas portfolios to make the process easier for faculty and admins.</w:t>
      </w:r>
    </w:p>
    <w:p w14:paraId="4C9EF9B1" w14:textId="02C466AD" w:rsidR="00E91AFB" w:rsidRDefault="00E91AFB" w:rsidP="00E91AFB">
      <w:pPr>
        <w:pStyle w:val="ListParagraph"/>
        <w:numPr>
          <w:ilvl w:val="2"/>
          <w:numId w:val="1"/>
        </w:numPr>
        <w:rPr>
          <w:rFonts w:cs="Times New Roman"/>
          <w:color w:val="000000" w:themeColor="text1"/>
          <w:kern w:val="0"/>
        </w:rPr>
      </w:pPr>
      <w:r>
        <w:rPr>
          <w:rFonts w:cs="Times New Roman"/>
          <w:color w:val="000000" w:themeColor="text1"/>
          <w:kern w:val="0"/>
        </w:rPr>
        <w:t xml:space="preserve">I’ve been added to a temporary shell to look over the differences between our current Canvas portfolio setup and the more “stock” module setup Adjunct’s currently use. More discussion on this is needed. </w:t>
      </w:r>
    </w:p>
    <w:p w14:paraId="57072C85" w14:textId="77777777" w:rsidR="00BA0F2F" w:rsidRDefault="00BA0F2F" w:rsidP="00BA0F2F">
      <w:pPr>
        <w:rPr>
          <w:rFonts w:cs="Times New Roman"/>
          <w:color w:val="000000" w:themeColor="text1"/>
          <w:kern w:val="0"/>
        </w:rPr>
      </w:pPr>
    </w:p>
    <w:p w14:paraId="4943DAC9" w14:textId="77777777" w:rsidR="00BA0F2F" w:rsidRDefault="00BA0F2F" w:rsidP="00BA0F2F">
      <w:pPr>
        <w:rPr>
          <w:rFonts w:cs="Times New Roman"/>
          <w:color w:val="000000" w:themeColor="text1"/>
          <w:kern w:val="0"/>
        </w:rPr>
      </w:pPr>
    </w:p>
    <w:p w14:paraId="4B2D1D25" w14:textId="77777777" w:rsidR="00BA0F2F" w:rsidRDefault="00BA0F2F" w:rsidP="00BA0F2F">
      <w:pPr>
        <w:rPr>
          <w:rFonts w:cs="Times New Roman"/>
          <w:color w:val="000000" w:themeColor="text1"/>
          <w:kern w:val="0"/>
        </w:rPr>
      </w:pPr>
    </w:p>
    <w:p w14:paraId="1CC40343" w14:textId="77777777" w:rsidR="00BA0F2F" w:rsidRDefault="00BA0F2F" w:rsidP="00BA0F2F">
      <w:pPr>
        <w:ind w:left="2880"/>
        <w:rPr>
          <w:rFonts w:cs="Times New Roman"/>
          <w:color w:val="000000" w:themeColor="text1"/>
          <w:kern w:val="0"/>
        </w:rPr>
      </w:pPr>
      <w:r>
        <w:rPr>
          <w:rFonts w:cs="Times New Roman"/>
          <w:color w:val="000000" w:themeColor="text1"/>
          <w:kern w:val="0"/>
        </w:rPr>
        <w:t>Next Steps in the IGCC Process:</w:t>
      </w:r>
    </w:p>
    <w:tbl>
      <w:tblPr>
        <w:tblW w:w="10122" w:type="dxa"/>
        <w:tblInd w:w="-396" w:type="dxa"/>
        <w:tblBorders>
          <w:top w:val="outset" w:sz="6" w:space="0" w:color="auto"/>
          <w:left w:val="outset" w:sz="6" w:space="0" w:color="auto"/>
          <w:bottom w:val="outset" w:sz="6" w:space="0" w:color="auto"/>
          <w:right w:val="outset" w:sz="6" w:space="0" w:color="auto"/>
        </w:tblBorders>
        <w:tblCellMar>
          <w:left w:w="144" w:type="dxa"/>
          <w:right w:w="0" w:type="dxa"/>
        </w:tblCellMar>
        <w:tblLook w:val="04A0" w:firstRow="1" w:lastRow="0" w:firstColumn="1" w:lastColumn="0" w:noHBand="0" w:noVBand="1"/>
      </w:tblPr>
      <w:tblGrid>
        <w:gridCol w:w="1544"/>
        <w:gridCol w:w="5038"/>
        <w:gridCol w:w="2294"/>
        <w:gridCol w:w="1246"/>
      </w:tblGrid>
      <w:tr w:rsidR="00BA0F2F" w14:paraId="4E859B77" w14:textId="77777777" w:rsidTr="008D1D87">
        <w:trPr>
          <w:trHeight w:val="790"/>
        </w:trPr>
        <w:tc>
          <w:tcPr>
            <w:tcW w:w="1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BDED9E" w14:textId="77777777" w:rsidR="00BA0F2F" w:rsidRPr="000877AA" w:rsidRDefault="00BA0F2F" w:rsidP="008D1D87">
            <w:pPr>
              <w:rPr>
                <w:sz w:val="22"/>
                <w:szCs w:val="22"/>
              </w:rPr>
            </w:pPr>
            <w:r w:rsidRPr="000877AA">
              <w:rPr>
                <w:sz w:val="22"/>
                <w:szCs w:val="22"/>
              </w:rPr>
              <w:t>Third Friday in October</w:t>
            </w:r>
          </w:p>
        </w:tc>
        <w:tc>
          <w:tcPr>
            <w:tcW w:w="5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519CCA" w14:textId="77777777" w:rsidR="00BA0F2F" w:rsidRPr="00391B5A" w:rsidRDefault="00BA0F2F" w:rsidP="008D1D87">
            <w:pPr>
              <w:rPr>
                <w:b/>
                <w:sz w:val="22"/>
                <w:szCs w:val="22"/>
              </w:rPr>
            </w:pPr>
            <w:r>
              <w:rPr>
                <w:sz w:val="22"/>
                <w:szCs w:val="22"/>
              </w:rPr>
              <w:t>Deans/supervising administrators</w:t>
            </w:r>
            <w:r w:rsidRPr="00391B5A">
              <w:rPr>
                <w:sz w:val="22"/>
                <w:szCs w:val="22"/>
              </w:rPr>
              <w:t xml:space="preserve"> </w:t>
            </w:r>
            <w:r>
              <w:rPr>
                <w:sz w:val="22"/>
                <w:szCs w:val="22"/>
              </w:rPr>
              <w:t>upload the</w:t>
            </w:r>
            <w:r w:rsidRPr="00391B5A">
              <w:rPr>
                <w:sz w:val="22"/>
                <w:szCs w:val="22"/>
              </w:rPr>
              <w:t xml:space="preserve"> letter of support or non-support </w:t>
            </w:r>
            <w:r>
              <w:rPr>
                <w:sz w:val="22"/>
                <w:szCs w:val="22"/>
              </w:rPr>
              <w:t xml:space="preserve">to </w:t>
            </w:r>
            <w:r w:rsidRPr="00391B5A">
              <w:rPr>
                <w:sz w:val="22"/>
                <w:szCs w:val="22"/>
              </w:rPr>
              <w:t xml:space="preserve">the respective faculty </w:t>
            </w:r>
            <w:r w:rsidRPr="000877AA">
              <w:rPr>
                <w:sz w:val="22"/>
                <w:szCs w:val="22"/>
              </w:rPr>
              <w:t>member’s portfolio.</w:t>
            </w:r>
            <w:r w:rsidRPr="00391B5A">
              <w:rPr>
                <w:sz w:val="22"/>
                <w:szCs w:val="22"/>
              </w:rPr>
              <w:t xml:space="preserve"> </w:t>
            </w:r>
          </w:p>
        </w:tc>
        <w:tc>
          <w:tcPr>
            <w:tcW w:w="229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8F8DBC8" w14:textId="77777777" w:rsidR="00BA0F2F" w:rsidRPr="00391B5A" w:rsidRDefault="00BA0F2F" w:rsidP="008D1D87">
            <w:pPr>
              <w:rPr>
                <w:sz w:val="22"/>
                <w:szCs w:val="22"/>
              </w:rPr>
            </w:pPr>
            <w:r>
              <w:rPr>
                <w:sz w:val="22"/>
                <w:szCs w:val="22"/>
              </w:rPr>
              <w:t>Deans/</w:t>
            </w:r>
            <w:r w:rsidRPr="00391B5A">
              <w:rPr>
                <w:sz w:val="22"/>
                <w:szCs w:val="22"/>
              </w:rPr>
              <w:t>Supervis</w:t>
            </w:r>
            <w:r>
              <w:rPr>
                <w:sz w:val="22"/>
                <w:szCs w:val="22"/>
              </w:rPr>
              <w:t>ing Administrators</w:t>
            </w:r>
          </w:p>
        </w:tc>
        <w:tc>
          <w:tcPr>
            <w:tcW w:w="1246" w:type="dxa"/>
            <w:tcBorders>
              <w:top w:val="nil"/>
              <w:left w:val="nil"/>
              <w:bottom w:val="single" w:sz="8" w:space="0" w:color="auto"/>
              <w:right w:val="single" w:sz="8" w:space="0" w:color="auto"/>
            </w:tcBorders>
          </w:tcPr>
          <w:p w14:paraId="5E145ECC" w14:textId="77777777" w:rsidR="00BA0F2F" w:rsidRDefault="00BA0F2F" w:rsidP="008D1D87">
            <w:pPr>
              <w:rPr>
                <w:sz w:val="22"/>
                <w:szCs w:val="22"/>
              </w:rPr>
            </w:pPr>
            <w:r>
              <w:rPr>
                <w:sz w:val="22"/>
                <w:szCs w:val="22"/>
              </w:rPr>
              <w:t>10/20/23</w:t>
            </w:r>
          </w:p>
        </w:tc>
      </w:tr>
      <w:tr w:rsidR="00BA0F2F" w:rsidRPr="000877AA" w14:paraId="771A97F5" w14:textId="77777777" w:rsidTr="008D1D87">
        <w:trPr>
          <w:trHeight w:val="576"/>
        </w:trPr>
        <w:tc>
          <w:tcPr>
            <w:tcW w:w="154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A9F886" w14:textId="77777777" w:rsidR="00BA0F2F" w:rsidRPr="000877AA" w:rsidRDefault="00BA0F2F" w:rsidP="008D1D87">
            <w:pPr>
              <w:rPr>
                <w:sz w:val="22"/>
                <w:szCs w:val="22"/>
              </w:rPr>
            </w:pPr>
            <w:r w:rsidRPr="000877AA">
              <w:rPr>
                <w:sz w:val="22"/>
                <w:szCs w:val="22"/>
              </w:rPr>
              <w:lastRenderedPageBreak/>
              <w:t xml:space="preserve">Third </w:t>
            </w:r>
            <w:r w:rsidRPr="000877AA">
              <w:rPr>
                <w:sz w:val="22"/>
                <w:szCs w:val="22"/>
              </w:rPr>
              <w:br/>
              <w:t>Friday in November</w:t>
            </w:r>
          </w:p>
        </w:tc>
        <w:tc>
          <w:tcPr>
            <w:tcW w:w="5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1B013C7" w14:textId="77777777" w:rsidR="00BA0F2F" w:rsidRPr="000877AA" w:rsidRDefault="00BA0F2F" w:rsidP="008D1D87">
            <w:pPr>
              <w:rPr>
                <w:sz w:val="22"/>
                <w:szCs w:val="22"/>
              </w:rPr>
            </w:pPr>
            <w:r w:rsidRPr="000877AA">
              <w:rPr>
                <w:sz w:val="22"/>
                <w:szCs w:val="22"/>
              </w:rPr>
              <w:t>Subcommittees must meet with the candidate for an interview, review credentials, document the interview, and submit a recommendation to the CCRC Chair. Subcommittee Recommendation Form is available in the Document Manager.</w:t>
            </w:r>
          </w:p>
        </w:tc>
        <w:tc>
          <w:tcPr>
            <w:tcW w:w="229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F3B71A" w14:textId="77777777" w:rsidR="00BA0F2F" w:rsidRPr="000877AA" w:rsidRDefault="00BA0F2F" w:rsidP="008D1D87">
            <w:pPr>
              <w:rPr>
                <w:sz w:val="22"/>
                <w:szCs w:val="22"/>
              </w:rPr>
            </w:pPr>
            <w:r w:rsidRPr="000877AA">
              <w:rPr>
                <w:sz w:val="22"/>
                <w:szCs w:val="22"/>
              </w:rPr>
              <w:t>Subcommittees/Faculty</w:t>
            </w:r>
          </w:p>
        </w:tc>
        <w:tc>
          <w:tcPr>
            <w:tcW w:w="1246" w:type="dxa"/>
            <w:tcBorders>
              <w:top w:val="nil"/>
              <w:left w:val="nil"/>
              <w:bottom w:val="single" w:sz="8" w:space="0" w:color="auto"/>
              <w:right w:val="single" w:sz="8" w:space="0" w:color="auto"/>
            </w:tcBorders>
          </w:tcPr>
          <w:p w14:paraId="42C41306" w14:textId="77777777" w:rsidR="00BA0F2F" w:rsidRPr="000877AA" w:rsidRDefault="00BA0F2F" w:rsidP="008D1D87">
            <w:pPr>
              <w:rPr>
                <w:sz w:val="22"/>
                <w:szCs w:val="22"/>
              </w:rPr>
            </w:pPr>
            <w:r>
              <w:rPr>
                <w:sz w:val="22"/>
                <w:szCs w:val="22"/>
              </w:rPr>
              <w:t>11/17/23</w:t>
            </w:r>
          </w:p>
        </w:tc>
      </w:tr>
    </w:tbl>
    <w:p w14:paraId="625789B5" w14:textId="77777777" w:rsidR="00243816" w:rsidRDefault="00243816"/>
    <w:sectPr w:rsidR="00243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33B89"/>
    <w:multiLevelType w:val="hybridMultilevel"/>
    <w:tmpl w:val="79A07294"/>
    <w:lvl w:ilvl="0" w:tplc="1C60F63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8468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9C"/>
    <w:rsid w:val="00243816"/>
    <w:rsid w:val="002450FB"/>
    <w:rsid w:val="00881F41"/>
    <w:rsid w:val="00BA0F2F"/>
    <w:rsid w:val="00D0139C"/>
    <w:rsid w:val="00E9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A41436"/>
  <w15:chartTrackingRefBased/>
  <w15:docId w15:val="{35BE4D7F-5179-5D4B-B2E9-CB1C18BE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F2F"/>
    <w:rPr>
      <w:color w:val="0563C1" w:themeColor="hyperlink"/>
      <w:u w:val="single"/>
    </w:rPr>
  </w:style>
  <w:style w:type="paragraph" w:styleId="ListParagraph">
    <w:name w:val="List Paragraph"/>
    <w:basedOn w:val="Normal"/>
    <w:uiPriority w:val="34"/>
    <w:qFormat/>
    <w:rsid w:val="00BA0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amma.app/public/Initial-Granting-of-Continuing-Contract-FEP-ePortfolio-Timeline-9h5su8auoe728p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Shawn W. Moore</cp:lastModifiedBy>
  <cp:revision>3</cp:revision>
  <dcterms:created xsi:type="dcterms:W3CDTF">2023-11-07T14:52:00Z</dcterms:created>
  <dcterms:modified xsi:type="dcterms:W3CDTF">2023-11-07T14:56:00Z</dcterms:modified>
</cp:coreProperties>
</file>