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C31A2" w:rsidTr="00893DB2">
        <w:trPr>
          <w:trHeight w:val="473"/>
          <w:tblHeader/>
        </w:trPr>
        <w:tc>
          <w:tcPr>
            <w:tcW w:w="1012" w:type="pct"/>
            <w:vAlign w:val="center"/>
          </w:tcPr>
          <w:p w:rsidR="005C31A2" w:rsidRDefault="005C31A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75130634"/>
              <w:placeholder>
                <w:docPart w:val="44110E080F784C83BEB643FEBF5CD4D9"/>
              </w:placeholder>
            </w:sdtPr>
            <w:sdtEndPr/>
            <w:sdtContent>
              <w:p w:rsidR="005C31A2" w:rsidRPr="002164CE" w:rsidRDefault="005C31A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31A2" w:rsidTr="00893DB2">
        <w:trPr>
          <w:trHeight w:val="447"/>
        </w:trPr>
        <w:tc>
          <w:tcPr>
            <w:tcW w:w="1012" w:type="pct"/>
            <w:vAlign w:val="center"/>
          </w:tcPr>
          <w:p w:rsidR="005C31A2" w:rsidRDefault="005C31A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12469132"/>
              <w:placeholder>
                <w:docPart w:val="44110E080F784C83BEB643FEBF5CD4D9"/>
              </w:placeholder>
            </w:sdtPr>
            <w:sdtEndPr/>
            <w:sdtContent>
              <w:p w:rsidR="005C31A2" w:rsidRPr="002164CE" w:rsidRDefault="005C31A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31A2" w:rsidTr="00893DB2">
        <w:trPr>
          <w:trHeight w:val="447"/>
        </w:trPr>
        <w:tc>
          <w:tcPr>
            <w:tcW w:w="1012" w:type="pct"/>
            <w:vAlign w:val="center"/>
          </w:tcPr>
          <w:p w:rsidR="005C31A2" w:rsidRDefault="005C31A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77044961"/>
              <w:placeholder>
                <w:docPart w:val="44110E080F784C83BEB643FEBF5CD4D9"/>
              </w:placeholder>
            </w:sdtPr>
            <w:sdtEndPr/>
            <w:sdtContent>
              <w:p w:rsidR="005C31A2" w:rsidRPr="002164CE" w:rsidRDefault="005C31A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31A2" w:rsidRPr="002164CE" w:rsidTr="00893DB2">
        <w:trPr>
          <w:trHeight w:val="473"/>
        </w:trPr>
        <w:tc>
          <w:tcPr>
            <w:tcW w:w="1012" w:type="pct"/>
          </w:tcPr>
          <w:p w:rsidR="005C31A2" w:rsidRDefault="005C31A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7090876"/>
              <w:placeholder>
                <w:docPart w:val="44110E080F784C83BEB643FEBF5CD4D9"/>
              </w:placeholder>
            </w:sdtPr>
            <w:sdtEndPr/>
            <w:sdtContent>
              <w:p w:rsidR="005C31A2" w:rsidRPr="002164CE" w:rsidRDefault="005C31A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31A2" w:rsidRPr="002164CE" w:rsidTr="00893DB2">
        <w:trPr>
          <w:trHeight w:val="447"/>
        </w:trPr>
        <w:tc>
          <w:tcPr>
            <w:tcW w:w="1012" w:type="pct"/>
          </w:tcPr>
          <w:p w:rsidR="005C31A2" w:rsidRDefault="005C31A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1208685"/>
              <w:placeholder>
                <w:docPart w:val="44110E080F784C83BEB643FEBF5CD4D9"/>
              </w:placeholder>
            </w:sdtPr>
            <w:sdtEndPr/>
            <w:sdtContent>
              <w:p w:rsidR="005C31A2" w:rsidRPr="002164CE" w:rsidRDefault="005C31A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31A2" w:rsidRPr="002164CE" w:rsidTr="00893DB2">
        <w:trPr>
          <w:trHeight w:val="447"/>
        </w:trPr>
        <w:tc>
          <w:tcPr>
            <w:tcW w:w="1012" w:type="pct"/>
          </w:tcPr>
          <w:p w:rsidR="005C31A2" w:rsidRDefault="005C31A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72101131"/>
              <w:placeholder>
                <w:docPart w:val="44110E080F784C83BEB643FEBF5CD4D9"/>
              </w:placeholder>
            </w:sdtPr>
            <w:sdtEndPr/>
            <w:sdtContent>
              <w:p w:rsidR="005C31A2" w:rsidRPr="002164CE" w:rsidRDefault="005C31A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31A2" w:rsidRPr="002164CE" w:rsidTr="00893DB2">
        <w:trPr>
          <w:trHeight w:val="447"/>
        </w:trPr>
        <w:tc>
          <w:tcPr>
            <w:tcW w:w="1012" w:type="pct"/>
          </w:tcPr>
          <w:p w:rsidR="005C31A2" w:rsidRPr="002164CE" w:rsidRDefault="005C31A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86415232"/>
              <w:placeholder>
                <w:docPart w:val="4640F6B6B9AA4471B073F4D81836B94C"/>
              </w:placeholder>
            </w:sdtPr>
            <w:sdtEndPr/>
            <w:sdtContent>
              <w:p w:rsidR="005C31A2" w:rsidRDefault="005C31A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5C31A2" w:rsidRPr="00BA5F71" w:rsidRDefault="005C31A2" w:rsidP="005C31A2">
      <w:pPr>
        <w:rPr>
          <w:rFonts w:ascii="Calibri" w:hAnsi="Calibri" w:cs="Arial"/>
          <w:b/>
          <w:sz w:val="22"/>
          <w:szCs w:val="22"/>
          <w:u w:val="single"/>
        </w:rPr>
      </w:pPr>
    </w:p>
    <w:p w:rsidR="005C31A2" w:rsidRPr="001D4AC5" w:rsidRDefault="005C31A2" w:rsidP="005C31A2">
      <w:pPr>
        <w:pStyle w:val="Heading1"/>
        <w:numPr>
          <w:ilvl w:val="0"/>
          <w:numId w:val="15"/>
        </w:numPr>
        <w:spacing w:after="120"/>
        <w:ind w:hanging="630"/>
      </w:pPr>
      <w:r w:rsidRPr="00FF6B5D">
        <w:t>COURSE NUMBER AND TITLE, CATALOG DESCRIPTION, CREDITS:</w:t>
      </w:r>
    </w:p>
    <w:p w:rsidR="005C31A2" w:rsidRPr="006A6876" w:rsidRDefault="005C31A2" w:rsidP="005C31A2">
      <w:pPr>
        <w:pStyle w:val="Heading2"/>
        <w:numPr>
          <w:ilvl w:val="0"/>
          <w:numId w:val="0"/>
        </w:numPr>
        <w:spacing w:after="240"/>
        <w:ind w:left="720"/>
      </w:pPr>
      <w:r w:rsidRPr="00673B23">
        <w:rPr>
          <w:noProof/>
        </w:rPr>
        <w:t>BUL</w:t>
      </w:r>
      <w:r w:rsidRPr="006A6876">
        <w:t xml:space="preserve"> </w:t>
      </w:r>
      <w:r w:rsidRPr="00673B23">
        <w:rPr>
          <w:noProof/>
        </w:rPr>
        <w:t>2561</w:t>
      </w:r>
      <w:r w:rsidRPr="006A6876">
        <w:t xml:space="preserve"> </w:t>
      </w:r>
      <w:r w:rsidRPr="00673B23">
        <w:rPr>
          <w:noProof/>
        </w:rPr>
        <w:t>Cyber Law</w:t>
      </w:r>
      <w:sdt>
        <w:sdtPr>
          <w:id w:val="1777438205"/>
          <w:placeholder>
            <w:docPart w:val="44110E080F784C83BEB643FEBF5CD4D9"/>
          </w:placeholder>
        </w:sdtPr>
        <w:sdtEndPr/>
        <w:sdtContent>
          <w:r>
            <w:rPr>
              <w:noProof/>
            </w:rPr>
            <w:t xml:space="preserve"> </w:t>
          </w:r>
        </w:sdtContent>
      </w:sdt>
      <w:r w:rsidRPr="006A6876">
        <w:t>(</w:t>
      </w:r>
      <w:r w:rsidRPr="00673B23">
        <w:rPr>
          <w:noProof/>
        </w:rPr>
        <w:t>3</w:t>
      </w:r>
      <w:r w:rsidRPr="006A6876">
        <w:t xml:space="preserve"> </w:t>
      </w:r>
      <w:r w:rsidRPr="00673B23">
        <w:rPr>
          <w:noProof/>
        </w:rPr>
        <w:t>Credits</w:t>
      </w:r>
      <w:r w:rsidRPr="006A6876">
        <w:t>)</w:t>
      </w:r>
    </w:p>
    <w:p w:rsidR="005C31A2" w:rsidRPr="001D4AC5" w:rsidRDefault="005C31A2" w:rsidP="005C31A2">
      <w:pPr>
        <w:pStyle w:val="BodyTextIndent2"/>
        <w:widowControl/>
        <w:tabs>
          <w:tab w:val="left" w:pos="720"/>
          <w:tab w:val="left" w:pos="1170"/>
        </w:tabs>
        <w:spacing w:after="240" w:line="240" w:lineRule="auto"/>
        <w:ind w:left="720"/>
        <w:rPr>
          <w:rFonts w:ascii="Calibri" w:hAnsi="Calibri" w:cs="Arial"/>
          <w:sz w:val="22"/>
          <w:szCs w:val="22"/>
        </w:rPr>
      </w:pPr>
      <w:r w:rsidRPr="00673B23">
        <w:rPr>
          <w:rFonts w:ascii="Calibri" w:hAnsi="Calibri" w:cs="Arial"/>
          <w:noProof/>
          <w:sz w:val="22"/>
          <w:szCs w:val="22"/>
        </w:rPr>
        <w:t>This course will examine the various developing legal issues in the use of business information technology, including an examination of constitutional rights, intellectual property, and employment law. Other topics studied during the course are freedom of speech, privacy, privileged communications, copyright, and trademark. These issues and others will be examined as they relate to business operations in today’s complex electronic world.</w:t>
      </w:r>
    </w:p>
    <w:p w:rsidR="005C31A2" w:rsidRPr="00FF6B5D" w:rsidRDefault="005C31A2" w:rsidP="005C31A2">
      <w:pPr>
        <w:pStyle w:val="Heading2"/>
      </w:pPr>
      <w:r w:rsidRPr="00FF6B5D">
        <w:t>PREREQUISITES FOR THIS COURSE:</w:t>
      </w:r>
    </w:p>
    <w:p w:rsidR="005C31A2" w:rsidRDefault="005C31A2" w:rsidP="005C31A2">
      <w:pPr>
        <w:spacing w:after="240"/>
        <w:ind w:left="720"/>
        <w:rPr>
          <w:rFonts w:ascii="Calibri" w:hAnsi="Calibri" w:cs="Arial"/>
          <w:noProof/>
          <w:sz w:val="22"/>
          <w:szCs w:val="22"/>
        </w:rPr>
      </w:pPr>
      <w:r w:rsidRPr="00673B23">
        <w:rPr>
          <w:rFonts w:ascii="Calibri" w:hAnsi="Calibri" w:cs="Arial"/>
          <w:noProof/>
          <w:sz w:val="22"/>
          <w:szCs w:val="22"/>
        </w:rPr>
        <w:t>GEB 1011 – Introduction to Business – Grade of C or better.</w:t>
      </w:r>
    </w:p>
    <w:p w:rsidR="005C31A2" w:rsidRPr="00FF6B5D" w:rsidRDefault="005C31A2" w:rsidP="005C31A2">
      <w:pPr>
        <w:pStyle w:val="Heading3"/>
        <w:spacing w:after="120"/>
      </w:pPr>
      <w:r w:rsidRPr="00FF6B5D">
        <w:t>CO-REQUISITES FOR THIS COURSE:</w:t>
      </w:r>
    </w:p>
    <w:p w:rsidR="005C31A2" w:rsidRPr="00BA5F71" w:rsidRDefault="005C31A2" w:rsidP="005C31A2">
      <w:pPr>
        <w:spacing w:after="240"/>
        <w:ind w:firstLine="720"/>
        <w:rPr>
          <w:rFonts w:ascii="Calibri" w:hAnsi="Calibri" w:cs="Arial"/>
          <w:noProof/>
          <w:sz w:val="22"/>
          <w:szCs w:val="22"/>
        </w:rPr>
      </w:pPr>
      <w:r w:rsidRPr="00673B23">
        <w:rPr>
          <w:rFonts w:ascii="Calibri" w:hAnsi="Calibri" w:cs="Arial"/>
          <w:noProof/>
          <w:sz w:val="22"/>
          <w:szCs w:val="22"/>
        </w:rPr>
        <w:t>None</w:t>
      </w:r>
    </w:p>
    <w:p w:rsidR="005C31A2" w:rsidRDefault="005C31A2" w:rsidP="005C31A2">
      <w:pPr>
        <w:pStyle w:val="Heading2"/>
      </w:pPr>
      <w:r w:rsidRPr="00BA5F71">
        <w:t>GENERAL COURSE INFORMATION:</w:t>
      </w:r>
    </w:p>
    <w:p w:rsidR="005C31A2" w:rsidRPr="00673B23" w:rsidRDefault="005C31A2" w:rsidP="005C31A2">
      <w:pPr>
        <w:ind w:left="720"/>
        <w:rPr>
          <w:rFonts w:asciiTheme="minorHAnsi" w:hAnsiTheme="minorHAnsi" w:cstheme="minorHAnsi"/>
          <w:noProof/>
          <w:sz w:val="22"/>
          <w:szCs w:val="22"/>
        </w:rPr>
      </w:pPr>
      <w:r w:rsidRPr="00673B23">
        <w:rPr>
          <w:rFonts w:asciiTheme="minorHAnsi" w:hAnsiTheme="minorHAnsi" w:cstheme="minorHAnsi"/>
          <w:noProof/>
          <w:sz w:val="22"/>
          <w:szCs w:val="22"/>
        </w:rPr>
        <w:t>Topic Outline.</w:t>
      </w:r>
    </w:p>
    <w:p w:rsidR="005C31A2" w:rsidRPr="00673B23" w:rsidRDefault="005C31A2" w:rsidP="005C31A2">
      <w:pPr>
        <w:ind w:left="720"/>
        <w:rPr>
          <w:rFonts w:asciiTheme="minorHAnsi" w:hAnsiTheme="minorHAnsi" w:cstheme="minorHAnsi"/>
          <w:noProof/>
          <w:sz w:val="22"/>
          <w:szCs w:val="22"/>
        </w:rPr>
      </w:pPr>
    </w:p>
    <w:p w:rsidR="005C31A2" w:rsidRPr="00673B23" w:rsidRDefault="005C31A2" w:rsidP="005C31A2">
      <w:pPr>
        <w:ind w:left="720"/>
        <w:rPr>
          <w:rFonts w:asciiTheme="minorHAnsi" w:hAnsiTheme="minorHAnsi" w:cstheme="minorHAnsi"/>
          <w:noProof/>
          <w:sz w:val="22"/>
          <w:szCs w:val="22"/>
        </w:rPr>
      </w:pPr>
      <w:r w:rsidRPr="00673B23">
        <w:rPr>
          <w:rFonts w:asciiTheme="minorHAnsi" w:hAnsiTheme="minorHAnsi" w:cstheme="minorHAnsi"/>
          <w:noProof/>
          <w:sz w:val="22"/>
          <w:szCs w:val="22"/>
        </w:rPr>
        <w:t>Jurisdiction</w:t>
      </w:r>
    </w:p>
    <w:p w:rsidR="005C31A2" w:rsidRPr="00673B23" w:rsidRDefault="005C31A2" w:rsidP="005C31A2">
      <w:pPr>
        <w:ind w:left="720"/>
        <w:rPr>
          <w:rFonts w:asciiTheme="minorHAnsi" w:hAnsiTheme="minorHAnsi" w:cstheme="minorHAnsi"/>
          <w:noProof/>
          <w:sz w:val="22"/>
          <w:szCs w:val="22"/>
        </w:rPr>
      </w:pPr>
      <w:r w:rsidRPr="00673B23">
        <w:rPr>
          <w:rFonts w:asciiTheme="minorHAnsi" w:hAnsiTheme="minorHAnsi" w:cstheme="minorHAnsi"/>
          <w:noProof/>
          <w:sz w:val="22"/>
          <w:szCs w:val="22"/>
        </w:rPr>
        <w:t>Intellectual Property</w:t>
      </w:r>
    </w:p>
    <w:p w:rsidR="005C31A2" w:rsidRPr="00673B23" w:rsidRDefault="005C31A2" w:rsidP="005C31A2">
      <w:pPr>
        <w:ind w:left="720"/>
        <w:rPr>
          <w:rFonts w:asciiTheme="minorHAnsi" w:hAnsiTheme="minorHAnsi" w:cstheme="minorHAnsi"/>
          <w:noProof/>
          <w:sz w:val="22"/>
          <w:szCs w:val="22"/>
        </w:rPr>
      </w:pPr>
      <w:r w:rsidRPr="00673B23">
        <w:rPr>
          <w:rFonts w:asciiTheme="minorHAnsi" w:hAnsiTheme="minorHAnsi" w:cstheme="minorHAnsi"/>
          <w:noProof/>
          <w:sz w:val="22"/>
          <w:szCs w:val="22"/>
        </w:rPr>
        <w:t>Taxation</w:t>
      </w:r>
    </w:p>
    <w:p w:rsidR="005C31A2" w:rsidRPr="00673B23" w:rsidRDefault="005C31A2" w:rsidP="005C31A2">
      <w:pPr>
        <w:ind w:left="720"/>
        <w:rPr>
          <w:rFonts w:asciiTheme="minorHAnsi" w:hAnsiTheme="minorHAnsi" w:cstheme="minorHAnsi"/>
          <w:noProof/>
          <w:sz w:val="22"/>
          <w:szCs w:val="22"/>
        </w:rPr>
      </w:pPr>
      <w:r w:rsidRPr="00673B23">
        <w:rPr>
          <w:rFonts w:asciiTheme="minorHAnsi" w:hAnsiTheme="minorHAnsi" w:cstheme="minorHAnsi"/>
          <w:noProof/>
          <w:sz w:val="22"/>
          <w:szCs w:val="22"/>
        </w:rPr>
        <w:t>Online Contracting</w:t>
      </w:r>
    </w:p>
    <w:p w:rsidR="005C31A2" w:rsidRPr="00673B23" w:rsidRDefault="005C31A2" w:rsidP="005C31A2">
      <w:pPr>
        <w:ind w:left="720"/>
        <w:rPr>
          <w:rFonts w:asciiTheme="minorHAnsi" w:hAnsiTheme="minorHAnsi" w:cstheme="minorHAnsi"/>
          <w:noProof/>
          <w:sz w:val="22"/>
          <w:szCs w:val="22"/>
        </w:rPr>
      </w:pPr>
      <w:r w:rsidRPr="00673B23">
        <w:rPr>
          <w:rFonts w:asciiTheme="minorHAnsi" w:hAnsiTheme="minorHAnsi" w:cstheme="minorHAnsi"/>
          <w:noProof/>
          <w:sz w:val="22"/>
          <w:szCs w:val="22"/>
        </w:rPr>
        <w:t>1st Amendment Issues</w:t>
      </w:r>
    </w:p>
    <w:p w:rsidR="005C31A2" w:rsidRPr="001F79D6" w:rsidRDefault="005C31A2" w:rsidP="005C31A2">
      <w:pPr>
        <w:ind w:left="720"/>
        <w:rPr>
          <w:rFonts w:asciiTheme="minorHAnsi" w:hAnsiTheme="minorHAnsi" w:cstheme="minorHAnsi"/>
          <w:sz w:val="22"/>
          <w:szCs w:val="22"/>
        </w:rPr>
      </w:pPr>
      <w:r w:rsidRPr="00673B23">
        <w:rPr>
          <w:rFonts w:asciiTheme="minorHAnsi" w:hAnsiTheme="minorHAnsi" w:cstheme="minorHAnsi"/>
          <w:noProof/>
          <w:sz w:val="22"/>
          <w:szCs w:val="22"/>
        </w:rPr>
        <w:t>Criminal Liability</w:t>
      </w:r>
    </w:p>
    <w:p w:rsidR="005C31A2" w:rsidRPr="00BA3BB9" w:rsidRDefault="005C31A2" w:rsidP="005C31A2">
      <w:pPr>
        <w:pStyle w:val="Heading2"/>
        <w:spacing w:before="240"/>
      </w:pPr>
      <w:r w:rsidRPr="00BA3BB9">
        <w:t>ALL COURSES AT FLORIDA SOUTHWESTERN STATE COLLEGE CONTRIBUTE TO THE GENERAL EDUCATION PROGRAM BY MEETING ONE OR MORE OF THE FOLLOWING GENERAL EDUCATION COMPETENCIES</w:t>
      </w:r>
      <w:r>
        <w:t>:</w:t>
      </w:r>
    </w:p>
    <w:p w:rsidR="005C31A2" w:rsidRPr="00E37095" w:rsidRDefault="005C31A2" w:rsidP="005C31A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rsidR="005C31A2" w:rsidRPr="00E37095" w:rsidRDefault="005C31A2" w:rsidP="005C31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5C31A2" w:rsidRPr="00E37095" w:rsidRDefault="005C31A2" w:rsidP="005C31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5C31A2" w:rsidRPr="00E37095" w:rsidRDefault="005C31A2" w:rsidP="005C31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5C31A2" w:rsidRDefault="005C31A2" w:rsidP="005C31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5C31A2" w:rsidRDefault="005C31A2" w:rsidP="005C31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5C31A2" w:rsidRDefault="005C31A2" w:rsidP="005C31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5C31A2" w:rsidRDefault="005C31A2" w:rsidP="005C31A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5C31A2" w:rsidRPr="00673B23" w:rsidRDefault="005C31A2" w:rsidP="005C31A2">
      <w:pPr>
        <w:spacing w:after="120"/>
        <w:ind w:left="720"/>
        <w:rPr>
          <w:rFonts w:asciiTheme="minorHAnsi" w:hAnsiTheme="minorHAnsi" w:cstheme="minorHAnsi"/>
          <w:noProof/>
          <w:color w:val="000000"/>
          <w:sz w:val="22"/>
          <w:szCs w:val="22"/>
        </w:rPr>
      </w:pPr>
    </w:p>
    <w:p w:rsidR="005C31A2" w:rsidRPr="00673B23" w:rsidRDefault="005C31A2" w:rsidP="005C31A2">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A.  General Education Competencies and Course Outcomes</w:t>
      </w:r>
    </w:p>
    <w:p w:rsidR="005C31A2" w:rsidRPr="00673B23" w:rsidRDefault="005C31A2" w:rsidP="005C31A2">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rsidR="005C31A2" w:rsidRPr="00673B23" w:rsidRDefault="005C31A2" w:rsidP="004A1B62">
      <w:pPr>
        <w:spacing w:after="1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 xml:space="preserve"> </w:t>
      </w:r>
      <w:r w:rsidRPr="00673B23">
        <w:rPr>
          <w:rFonts w:asciiTheme="minorHAnsi" w:hAnsiTheme="minorHAnsi" w:cstheme="minorHAnsi"/>
          <w:noProof/>
          <w:color w:val="000000"/>
          <w:sz w:val="22"/>
          <w:szCs w:val="22"/>
        </w:rPr>
        <w:tab/>
        <w:t>General Education Competency: Engage</w:t>
      </w:r>
    </w:p>
    <w:p w:rsidR="005C31A2" w:rsidRPr="00673B23" w:rsidRDefault="005C31A2" w:rsidP="004A1B62">
      <w:pPr>
        <w:spacing w:after="1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ab/>
        <w:t>Course Outcomes or Objectives Supporting the General Education Competency Selected:</w:t>
      </w:r>
    </w:p>
    <w:p w:rsidR="005C31A2" w:rsidRPr="00673B23" w:rsidRDefault="005C31A2" w:rsidP="004A1B62">
      <w:pPr>
        <w:spacing w:after="120"/>
        <w:ind w:left="144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07.04 Discuss the rights, duties, and liabilities of the owners, officers, directors, and employees of various types of business organizations.</w:t>
      </w:r>
    </w:p>
    <w:p w:rsidR="005C31A2" w:rsidRPr="00673B23" w:rsidRDefault="005C31A2" w:rsidP="005C31A2">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rsidR="005C31A2" w:rsidRPr="00673B23" w:rsidRDefault="005C31A2" w:rsidP="005C31A2">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General Education Competency or competencies: Communicate</w:t>
      </w:r>
    </w:p>
    <w:p w:rsidR="005C31A2" w:rsidRPr="00673B23" w:rsidRDefault="005C31A2" w:rsidP="005C31A2">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Course Outcomes or Objectives Supporting the General Education Competency Selected:</w:t>
      </w:r>
    </w:p>
    <w:p w:rsidR="005C31A2" w:rsidRPr="00673B23" w:rsidRDefault="005C31A2" w:rsidP="004A1B62">
      <w:pPr>
        <w:spacing w:after="120"/>
        <w:ind w:left="144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07.06 Discuss the nature of the agency relationship to include the duties and liabilities of the principal, the agent, and third parties.</w:t>
      </w:r>
      <w:r>
        <w:rPr>
          <w:rFonts w:asciiTheme="minorHAnsi" w:hAnsiTheme="minorHAnsi" w:cstheme="minorHAnsi"/>
          <w:noProof/>
          <w:color w:val="000000"/>
          <w:sz w:val="22"/>
          <w:szCs w:val="22"/>
        </w:rPr>
        <w:cr/>
      </w:r>
    </w:p>
    <w:p w:rsidR="005C31A2" w:rsidRPr="00673B23" w:rsidRDefault="005C31A2" w:rsidP="005C31A2">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B. Other Course Objectives/Standards</w:t>
      </w:r>
    </w:p>
    <w:p w:rsidR="005C31A2" w:rsidRPr="004A1B62" w:rsidRDefault="005C31A2" w:rsidP="004A1B62">
      <w:pPr>
        <w:pStyle w:val="ListParagraph"/>
        <w:numPr>
          <w:ilvl w:val="0"/>
          <w:numId w:val="21"/>
        </w:numPr>
        <w:spacing w:after="120"/>
        <w:rPr>
          <w:rFonts w:asciiTheme="minorHAnsi" w:hAnsiTheme="minorHAnsi" w:cstheme="minorHAnsi"/>
          <w:noProof/>
          <w:color w:val="000000"/>
          <w:sz w:val="22"/>
          <w:szCs w:val="22"/>
        </w:rPr>
      </w:pPr>
      <w:r w:rsidRPr="004A1B62">
        <w:rPr>
          <w:rFonts w:asciiTheme="minorHAnsi" w:hAnsiTheme="minorHAnsi" w:cstheme="minorHAnsi"/>
          <w:noProof/>
          <w:color w:val="000000"/>
          <w:sz w:val="22"/>
          <w:szCs w:val="22"/>
        </w:rPr>
        <w:t xml:space="preserve">THE STUDENT WILL DEMONSTRATE AN UNDERSTANDING OF INFORMATION TECHNOLOGY AS WELL AS VARIOUS LAWS IMPACTED BY ELECTRONIC BUSINESS OPERATIONS, AS MEASURED BY THE ABILITY TO: RECOGNIZE VARIOUS LAWS THAT MAY BE IMPACTED BY ELECTRONIC TRANSACTIONS, SALES TAX, FREE SPEECH, INTELLECTUAL PROPERTY, ETC. </w:t>
      </w:r>
    </w:p>
    <w:p w:rsidR="005C31A2" w:rsidRPr="00673B23" w:rsidRDefault="005C31A2" w:rsidP="005C31A2">
      <w:pPr>
        <w:spacing w:after="120"/>
        <w:ind w:left="720"/>
        <w:rPr>
          <w:rFonts w:asciiTheme="minorHAnsi" w:hAnsiTheme="minorHAnsi" w:cstheme="minorHAnsi"/>
          <w:noProof/>
          <w:color w:val="000000"/>
          <w:sz w:val="22"/>
          <w:szCs w:val="22"/>
        </w:rPr>
      </w:pPr>
    </w:p>
    <w:p w:rsidR="005C31A2" w:rsidRPr="004A1B62" w:rsidRDefault="005C31A2" w:rsidP="004A1B62">
      <w:pPr>
        <w:pStyle w:val="ListParagraph"/>
        <w:numPr>
          <w:ilvl w:val="0"/>
          <w:numId w:val="21"/>
        </w:numPr>
        <w:spacing w:after="120"/>
        <w:rPr>
          <w:rFonts w:asciiTheme="minorHAnsi" w:hAnsiTheme="minorHAnsi" w:cstheme="minorHAnsi"/>
          <w:noProof/>
          <w:color w:val="000000"/>
          <w:sz w:val="22"/>
          <w:szCs w:val="22"/>
        </w:rPr>
      </w:pPr>
      <w:r w:rsidRPr="004A1B62">
        <w:rPr>
          <w:rFonts w:asciiTheme="minorHAnsi" w:hAnsiTheme="minorHAnsi" w:cstheme="minorHAnsi"/>
          <w:noProof/>
          <w:color w:val="000000"/>
          <w:sz w:val="22"/>
          <w:szCs w:val="22"/>
        </w:rPr>
        <w:t xml:space="preserve">EXPLAIN ACCESSIBILITY OF EMPLOYEE INFORMATION. </w:t>
      </w:r>
    </w:p>
    <w:p w:rsidR="005C31A2" w:rsidRPr="00673B23" w:rsidRDefault="005C31A2" w:rsidP="005C31A2">
      <w:pPr>
        <w:spacing w:after="120"/>
        <w:ind w:left="720"/>
        <w:rPr>
          <w:rFonts w:asciiTheme="minorHAnsi" w:hAnsiTheme="minorHAnsi" w:cstheme="minorHAnsi"/>
          <w:noProof/>
          <w:color w:val="000000"/>
          <w:sz w:val="22"/>
          <w:szCs w:val="22"/>
        </w:rPr>
      </w:pPr>
    </w:p>
    <w:p w:rsidR="005C31A2" w:rsidRPr="004A1B62" w:rsidRDefault="005C31A2" w:rsidP="004A1B62">
      <w:pPr>
        <w:pStyle w:val="ListParagraph"/>
        <w:numPr>
          <w:ilvl w:val="0"/>
          <w:numId w:val="21"/>
        </w:numPr>
        <w:spacing w:after="120"/>
        <w:rPr>
          <w:rFonts w:asciiTheme="minorHAnsi" w:hAnsiTheme="minorHAnsi" w:cstheme="minorHAnsi"/>
          <w:noProof/>
          <w:color w:val="000000"/>
          <w:sz w:val="22"/>
          <w:szCs w:val="22"/>
        </w:rPr>
      </w:pPr>
      <w:r w:rsidRPr="004A1B62">
        <w:rPr>
          <w:rFonts w:asciiTheme="minorHAnsi" w:hAnsiTheme="minorHAnsi" w:cstheme="minorHAnsi"/>
          <w:noProof/>
          <w:color w:val="000000"/>
          <w:sz w:val="22"/>
          <w:szCs w:val="22"/>
        </w:rPr>
        <w:t xml:space="preserve">EXPLAIN BUSINESS COPYRIGHT VERSUS FREE SPEECH ON THE INTERNET ISSUES. </w:t>
      </w:r>
    </w:p>
    <w:p w:rsidR="005C31A2" w:rsidRPr="00673B23" w:rsidRDefault="005C31A2" w:rsidP="005C31A2">
      <w:pPr>
        <w:spacing w:after="120"/>
        <w:ind w:left="720"/>
        <w:rPr>
          <w:rFonts w:asciiTheme="minorHAnsi" w:hAnsiTheme="minorHAnsi" w:cstheme="minorHAnsi"/>
          <w:noProof/>
          <w:color w:val="000000"/>
          <w:sz w:val="22"/>
          <w:szCs w:val="22"/>
        </w:rPr>
      </w:pPr>
    </w:p>
    <w:p w:rsidR="005C31A2" w:rsidRPr="004A1B62" w:rsidRDefault="005C31A2" w:rsidP="004A1B62">
      <w:pPr>
        <w:pStyle w:val="ListParagraph"/>
        <w:numPr>
          <w:ilvl w:val="0"/>
          <w:numId w:val="21"/>
        </w:numPr>
        <w:spacing w:after="120"/>
        <w:rPr>
          <w:rFonts w:asciiTheme="minorHAnsi" w:hAnsiTheme="minorHAnsi" w:cstheme="minorHAnsi"/>
          <w:noProof/>
          <w:color w:val="000000"/>
          <w:sz w:val="22"/>
          <w:szCs w:val="22"/>
        </w:rPr>
      </w:pPr>
      <w:r w:rsidRPr="004A1B62">
        <w:rPr>
          <w:rFonts w:asciiTheme="minorHAnsi" w:hAnsiTheme="minorHAnsi" w:cstheme="minorHAnsi"/>
          <w:noProof/>
          <w:color w:val="000000"/>
          <w:sz w:val="22"/>
          <w:szCs w:val="22"/>
        </w:rPr>
        <w:t>THE STUDENT WILL DEMONSTRATE KNOWLEDGE OF THE CHANGES TO EMPLOYMENT LAW CAUSED BY INFORMATION TECHNOLOGY, AS MEASURED BY THE ABILITY TO: 2.1ANALYZE INFORMATION TECHNOLOGY IN THE WORKPLACE AND ITS IMPACT ON ISSUES SUCH AS EMPLOYEE MONITORING, PRIVACY, AND DISCRIMINATION/HARASSMENT.</w:t>
      </w:r>
    </w:p>
    <w:p w:rsidR="005C31A2" w:rsidRPr="00673B23" w:rsidRDefault="005C31A2" w:rsidP="005C31A2">
      <w:pPr>
        <w:spacing w:after="120"/>
        <w:ind w:left="720"/>
        <w:rPr>
          <w:rFonts w:asciiTheme="minorHAnsi" w:hAnsiTheme="minorHAnsi" w:cstheme="minorHAnsi"/>
          <w:noProof/>
          <w:color w:val="000000"/>
          <w:sz w:val="22"/>
          <w:szCs w:val="22"/>
        </w:rPr>
      </w:pPr>
    </w:p>
    <w:p w:rsidR="005C31A2" w:rsidRPr="004A1B62" w:rsidRDefault="005C31A2" w:rsidP="004A1B62">
      <w:pPr>
        <w:pStyle w:val="ListParagraph"/>
        <w:numPr>
          <w:ilvl w:val="0"/>
          <w:numId w:val="21"/>
        </w:numPr>
        <w:spacing w:after="120"/>
        <w:rPr>
          <w:rFonts w:asciiTheme="minorHAnsi" w:hAnsiTheme="minorHAnsi" w:cstheme="minorHAnsi"/>
          <w:noProof/>
          <w:color w:val="000000"/>
          <w:sz w:val="22"/>
          <w:szCs w:val="22"/>
        </w:rPr>
      </w:pPr>
      <w:r w:rsidRPr="004A1B62">
        <w:rPr>
          <w:rFonts w:asciiTheme="minorHAnsi" w:hAnsiTheme="minorHAnsi" w:cstheme="minorHAnsi"/>
          <w:noProof/>
          <w:color w:val="000000"/>
          <w:sz w:val="22"/>
          <w:szCs w:val="22"/>
        </w:rPr>
        <w:lastRenderedPageBreak/>
        <w:t xml:space="preserve">RECOGNIZE AND ANALYZE PROBLEMS INVOLVING INFORMATION TECHNOLOGY IN THE CONCEPT OF TELECOMMUTING AND RELATED ISSUES FOR THE EMPLOYER. </w:t>
      </w:r>
    </w:p>
    <w:p w:rsidR="005C31A2" w:rsidRPr="00673B23" w:rsidRDefault="005C31A2" w:rsidP="005C31A2">
      <w:pPr>
        <w:spacing w:after="120"/>
        <w:ind w:left="720"/>
        <w:rPr>
          <w:rFonts w:asciiTheme="minorHAnsi" w:hAnsiTheme="minorHAnsi" w:cstheme="minorHAnsi"/>
          <w:noProof/>
          <w:color w:val="000000"/>
          <w:sz w:val="22"/>
          <w:szCs w:val="22"/>
        </w:rPr>
      </w:pPr>
    </w:p>
    <w:p w:rsidR="005C31A2" w:rsidRPr="004A1B62" w:rsidRDefault="005C31A2" w:rsidP="004A1B62">
      <w:pPr>
        <w:pStyle w:val="ListParagraph"/>
        <w:numPr>
          <w:ilvl w:val="0"/>
          <w:numId w:val="21"/>
        </w:numPr>
        <w:spacing w:after="120"/>
        <w:rPr>
          <w:rFonts w:asciiTheme="minorHAnsi" w:hAnsiTheme="minorHAnsi" w:cstheme="minorHAnsi"/>
          <w:noProof/>
          <w:color w:val="000000"/>
          <w:sz w:val="22"/>
          <w:szCs w:val="22"/>
        </w:rPr>
      </w:pPr>
      <w:r w:rsidRPr="004A1B62">
        <w:rPr>
          <w:rFonts w:asciiTheme="minorHAnsi" w:hAnsiTheme="minorHAnsi" w:cstheme="minorHAnsi"/>
          <w:noProof/>
          <w:color w:val="000000"/>
          <w:sz w:val="22"/>
          <w:szCs w:val="22"/>
        </w:rPr>
        <w:t xml:space="preserve">EXPLAIN VARIOUS FRAUD PREVENTION METHODS USED IN E-BUSINESS TRANSACTIONS. 3. THE STUDENT WILL DEMONSTRATE KNOWLEDGE OF THE CONCERNS AND ISSUES SURROUNDING INTELLECTUAL PROPERTY AMID THE BUSINESS INFORMATION TECHNOLOGY EXPLOSION, AS MEASURED BY THE ABILITY TO: EXPLAIN BUSINESS'S RESPONSIBILITY TO EDUCATE EMPLOYEES ABOUT THE ISSUES OF COPYRIGHT INFRINGEMENT ON THE INTERNET. </w:t>
      </w:r>
    </w:p>
    <w:p w:rsidR="005C31A2" w:rsidRPr="00673B23" w:rsidRDefault="005C31A2" w:rsidP="005C31A2">
      <w:pPr>
        <w:spacing w:after="120"/>
        <w:ind w:left="720"/>
        <w:rPr>
          <w:rFonts w:asciiTheme="minorHAnsi" w:hAnsiTheme="minorHAnsi" w:cstheme="minorHAnsi"/>
          <w:noProof/>
          <w:color w:val="000000"/>
          <w:sz w:val="22"/>
          <w:szCs w:val="22"/>
        </w:rPr>
      </w:pPr>
    </w:p>
    <w:p w:rsidR="005C31A2" w:rsidRPr="004A1B62" w:rsidRDefault="005C31A2" w:rsidP="004A1B62">
      <w:pPr>
        <w:pStyle w:val="ListParagraph"/>
        <w:numPr>
          <w:ilvl w:val="0"/>
          <w:numId w:val="21"/>
        </w:numPr>
        <w:spacing w:after="120"/>
        <w:rPr>
          <w:rFonts w:asciiTheme="minorHAnsi" w:hAnsiTheme="minorHAnsi" w:cstheme="minorHAnsi"/>
          <w:noProof/>
          <w:color w:val="000000"/>
          <w:sz w:val="22"/>
          <w:szCs w:val="22"/>
        </w:rPr>
      </w:pPr>
      <w:r w:rsidRPr="004A1B62">
        <w:rPr>
          <w:rFonts w:asciiTheme="minorHAnsi" w:hAnsiTheme="minorHAnsi" w:cstheme="minorHAnsi"/>
          <w:noProof/>
          <w:color w:val="000000"/>
          <w:sz w:val="22"/>
          <w:szCs w:val="22"/>
        </w:rPr>
        <w:t xml:space="preserve">DEVELOP SAMPLE-TRAINING PROGRAMS FOR EDUCATING EMPLOYEES ON WAYS TO PROTECT TRADEMARKS AND PATENTS. </w:t>
      </w:r>
    </w:p>
    <w:p w:rsidR="005C31A2" w:rsidRPr="00673B23" w:rsidRDefault="005C31A2" w:rsidP="005C31A2">
      <w:pPr>
        <w:spacing w:after="120"/>
        <w:ind w:left="720"/>
        <w:rPr>
          <w:rFonts w:asciiTheme="minorHAnsi" w:hAnsiTheme="minorHAnsi" w:cstheme="minorHAnsi"/>
          <w:noProof/>
          <w:color w:val="000000"/>
          <w:sz w:val="22"/>
          <w:szCs w:val="22"/>
        </w:rPr>
      </w:pPr>
    </w:p>
    <w:p w:rsidR="005C31A2" w:rsidRPr="004A1B62" w:rsidRDefault="005C31A2" w:rsidP="004A1B62">
      <w:pPr>
        <w:pStyle w:val="ListParagraph"/>
        <w:numPr>
          <w:ilvl w:val="0"/>
          <w:numId w:val="21"/>
        </w:numPr>
        <w:spacing w:after="120"/>
        <w:rPr>
          <w:rFonts w:asciiTheme="minorHAnsi" w:hAnsiTheme="minorHAnsi" w:cstheme="minorHAnsi"/>
          <w:noProof/>
          <w:color w:val="000000"/>
          <w:sz w:val="22"/>
          <w:szCs w:val="22"/>
        </w:rPr>
      </w:pPr>
      <w:r w:rsidRPr="004A1B62">
        <w:rPr>
          <w:rFonts w:asciiTheme="minorHAnsi" w:hAnsiTheme="minorHAnsi" w:cstheme="minorHAnsi"/>
          <w:noProof/>
          <w:color w:val="000000"/>
          <w:sz w:val="22"/>
          <w:szCs w:val="22"/>
        </w:rPr>
        <w:t xml:space="preserve">EXPLAIN HOW COPYRIGHT LAWS AND TRADEMARK LAWS AFFECT THE CREATION OF BUSINESS WEB PAGES. </w:t>
      </w:r>
    </w:p>
    <w:p w:rsidR="005C31A2" w:rsidRPr="00673B23" w:rsidRDefault="005C31A2" w:rsidP="005C31A2">
      <w:pPr>
        <w:spacing w:after="120"/>
        <w:ind w:left="720"/>
        <w:rPr>
          <w:rFonts w:asciiTheme="minorHAnsi" w:hAnsiTheme="minorHAnsi" w:cstheme="minorHAnsi"/>
          <w:noProof/>
          <w:color w:val="000000"/>
          <w:sz w:val="22"/>
          <w:szCs w:val="22"/>
        </w:rPr>
      </w:pPr>
    </w:p>
    <w:p w:rsidR="004A1B62" w:rsidRPr="004A1B62" w:rsidRDefault="005C31A2" w:rsidP="004A1B62">
      <w:pPr>
        <w:pStyle w:val="ListParagraph"/>
        <w:numPr>
          <w:ilvl w:val="0"/>
          <w:numId w:val="21"/>
        </w:numPr>
        <w:spacing w:after="120"/>
        <w:rPr>
          <w:rFonts w:asciiTheme="minorHAnsi" w:hAnsiTheme="minorHAnsi" w:cstheme="minorHAnsi"/>
          <w:noProof/>
          <w:color w:val="000000"/>
          <w:sz w:val="22"/>
          <w:szCs w:val="22"/>
        </w:rPr>
      </w:pPr>
      <w:r w:rsidRPr="004A1B62">
        <w:rPr>
          <w:rFonts w:asciiTheme="minorHAnsi" w:hAnsiTheme="minorHAnsi" w:cstheme="minorHAnsi"/>
          <w:noProof/>
          <w:color w:val="000000"/>
          <w:sz w:val="22"/>
          <w:szCs w:val="22"/>
        </w:rPr>
        <w:t xml:space="preserve">EXPLAIN NETIQUETTE" AND LIST THE RULES OF BEHAVIOR. </w:t>
      </w:r>
    </w:p>
    <w:p w:rsidR="004A1B62" w:rsidRPr="004A1B62" w:rsidRDefault="004A1B62" w:rsidP="004A1B62">
      <w:pPr>
        <w:pStyle w:val="ListParagraph"/>
        <w:rPr>
          <w:rFonts w:asciiTheme="minorHAnsi" w:hAnsiTheme="minorHAnsi" w:cstheme="minorHAnsi"/>
          <w:noProof/>
          <w:color w:val="000000"/>
          <w:sz w:val="22"/>
          <w:szCs w:val="22"/>
        </w:rPr>
      </w:pPr>
    </w:p>
    <w:p w:rsidR="005C31A2" w:rsidRPr="004A1B62" w:rsidRDefault="005C31A2" w:rsidP="004A1B62">
      <w:pPr>
        <w:pStyle w:val="ListParagraph"/>
        <w:numPr>
          <w:ilvl w:val="0"/>
          <w:numId w:val="21"/>
        </w:numPr>
        <w:spacing w:after="120"/>
        <w:rPr>
          <w:rFonts w:asciiTheme="minorHAnsi" w:hAnsiTheme="minorHAnsi" w:cstheme="minorHAnsi"/>
          <w:noProof/>
          <w:color w:val="000000"/>
          <w:sz w:val="22"/>
          <w:szCs w:val="22"/>
        </w:rPr>
      </w:pPr>
      <w:r w:rsidRPr="004A1B62">
        <w:rPr>
          <w:rFonts w:asciiTheme="minorHAnsi" w:hAnsiTheme="minorHAnsi" w:cstheme="minorHAnsi"/>
          <w:noProof/>
          <w:color w:val="000000"/>
          <w:sz w:val="22"/>
          <w:szCs w:val="22"/>
        </w:rPr>
        <w:t xml:space="preserve">THE STUDENT WILL DEMONSTRATE KNOWLEDGE OF THE LEGAL ASPECTS OF ELECTRONIC BUSINESS COMMUNICATIONS, AS MEASURED BY THE ABILITY TO LIST SEVERAL EXAMPLES OF EMAIL ABUSE. </w:t>
      </w:r>
    </w:p>
    <w:p w:rsidR="005C31A2" w:rsidRPr="00673B23" w:rsidRDefault="005C31A2" w:rsidP="005C31A2">
      <w:pPr>
        <w:spacing w:after="120"/>
        <w:ind w:left="720"/>
        <w:rPr>
          <w:rFonts w:asciiTheme="minorHAnsi" w:hAnsiTheme="minorHAnsi" w:cstheme="minorHAnsi"/>
          <w:noProof/>
          <w:color w:val="000000"/>
          <w:sz w:val="22"/>
          <w:szCs w:val="22"/>
        </w:rPr>
      </w:pPr>
    </w:p>
    <w:p w:rsidR="005C31A2" w:rsidRPr="004A1B62" w:rsidRDefault="005C31A2" w:rsidP="004A1B62">
      <w:pPr>
        <w:pStyle w:val="ListParagraph"/>
        <w:numPr>
          <w:ilvl w:val="0"/>
          <w:numId w:val="21"/>
        </w:numPr>
        <w:spacing w:after="120"/>
        <w:rPr>
          <w:rFonts w:asciiTheme="minorHAnsi" w:hAnsiTheme="minorHAnsi" w:cstheme="minorHAnsi"/>
          <w:noProof/>
          <w:color w:val="000000"/>
          <w:sz w:val="22"/>
          <w:szCs w:val="22"/>
        </w:rPr>
      </w:pPr>
      <w:r w:rsidRPr="004A1B62">
        <w:rPr>
          <w:rFonts w:asciiTheme="minorHAnsi" w:hAnsiTheme="minorHAnsi" w:cstheme="minorHAnsi"/>
          <w:noProof/>
          <w:color w:val="000000"/>
          <w:sz w:val="22"/>
          <w:szCs w:val="22"/>
        </w:rPr>
        <w:t xml:space="preserve">DESCRIBE ETHICAL EMAIL ETIQUETTE. </w:t>
      </w:r>
    </w:p>
    <w:p w:rsidR="005C31A2" w:rsidRPr="00673B23" w:rsidRDefault="005C31A2" w:rsidP="005C31A2">
      <w:pPr>
        <w:spacing w:after="120"/>
        <w:ind w:left="720"/>
        <w:rPr>
          <w:rFonts w:asciiTheme="minorHAnsi" w:hAnsiTheme="minorHAnsi" w:cstheme="minorHAnsi"/>
          <w:noProof/>
          <w:color w:val="000000"/>
          <w:sz w:val="22"/>
          <w:szCs w:val="22"/>
        </w:rPr>
      </w:pPr>
    </w:p>
    <w:p w:rsidR="005C31A2" w:rsidRPr="004A1B62" w:rsidRDefault="005C31A2" w:rsidP="004A1B62">
      <w:pPr>
        <w:pStyle w:val="ListParagraph"/>
        <w:numPr>
          <w:ilvl w:val="0"/>
          <w:numId w:val="21"/>
        </w:numPr>
        <w:spacing w:after="120"/>
        <w:rPr>
          <w:rFonts w:asciiTheme="minorHAnsi" w:hAnsiTheme="minorHAnsi" w:cstheme="minorHAnsi"/>
          <w:color w:val="000000"/>
          <w:sz w:val="22"/>
          <w:szCs w:val="22"/>
        </w:rPr>
      </w:pPr>
      <w:r w:rsidRPr="004A1B62">
        <w:rPr>
          <w:rFonts w:asciiTheme="minorHAnsi" w:hAnsiTheme="minorHAnsi" w:cstheme="minorHAnsi"/>
          <w:noProof/>
          <w:color w:val="000000"/>
          <w:sz w:val="22"/>
          <w:szCs w:val="22"/>
        </w:rPr>
        <w:t>DESCRIBE PRIVACY RIGHTS OF EMAIL COMMUNICATOR</w:t>
      </w:r>
      <w:r w:rsidRPr="004A1B62">
        <w:rPr>
          <w:rFonts w:asciiTheme="minorHAnsi" w:hAnsiTheme="minorHAnsi" w:cstheme="minorHAnsi"/>
          <w:noProof/>
          <w:color w:val="000000"/>
          <w:sz w:val="22"/>
          <w:szCs w:val="22"/>
        </w:rPr>
        <w:cr/>
      </w:r>
    </w:p>
    <w:p w:rsidR="005C31A2" w:rsidRPr="00BA5F71" w:rsidRDefault="005C31A2" w:rsidP="005C31A2">
      <w:pPr>
        <w:pStyle w:val="Heading2"/>
      </w:pPr>
      <w:r w:rsidRPr="00BA5F71">
        <w:t>DISTRICT-WIDE POLICIES:</w:t>
      </w:r>
    </w:p>
    <w:p w:rsidR="005C31A2" w:rsidRPr="00FF6B5D" w:rsidRDefault="005C31A2" w:rsidP="005C31A2">
      <w:pPr>
        <w:pStyle w:val="Heading3"/>
        <w:rPr>
          <w:u w:val="none"/>
        </w:rPr>
      </w:pPr>
      <w:r w:rsidRPr="00FF6B5D">
        <w:rPr>
          <w:u w:val="none"/>
        </w:rPr>
        <w:t>PROGRAMS FOR STUDENTS WITH DISABILITIES</w:t>
      </w:r>
    </w:p>
    <w:p w:rsidR="005C31A2" w:rsidRPr="00BA5F71" w:rsidRDefault="005C31A2" w:rsidP="005C31A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5C31A2" w:rsidRPr="00FF6B5D" w:rsidRDefault="005C31A2" w:rsidP="005C31A2">
      <w:pPr>
        <w:pStyle w:val="Heading3"/>
        <w:rPr>
          <w:u w:val="none"/>
        </w:rPr>
      </w:pPr>
      <w:r w:rsidRPr="00FF6B5D">
        <w:rPr>
          <w:u w:val="none"/>
        </w:rPr>
        <w:t>REPORTING TITLE IX VIOLATIONS</w:t>
      </w:r>
    </w:p>
    <w:p w:rsidR="005C31A2" w:rsidRPr="00BA5F71" w:rsidRDefault="005C31A2" w:rsidP="005C31A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5C31A2" w:rsidRPr="00BA5F71" w:rsidRDefault="005C31A2" w:rsidP="005C31A2">
      <w:pPr>
        <w:tabs>
          <w:tab w:val="left" w:pos="720"/>
        </w:tabs>
        <w:ind w:left="720"/>
        <w:rPr>
          <w:rFonts w:ascii="Calibri" w:hAnsi="Calibri" w:cs="Arial"/>
          <w:bCs/>
          <w:iCs/>
          <w:sz w:val="22"/>
          <w:szCs w:val="22"/>
        </w:rPr>
        <w:sectPr w:rsidR="005C31A2" w:rsidRPr="00BA5F71" w:rsidSect="00253A66">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rsidR="005C31A2" w:rsidRPr="00BA5F71" w:rsidRDefault="005C31A2" w:rsidP="005C31A2">
      <w:pPr>
        <w:pStyle w:val="Heading2"/>
      </w:pPr>
      <w:bookmarkStart w:id="0" w:name="_GoBack"/>
      <w:bookmarkEnd w:id="0"/>
      <w:r w:rsidRPr="00BA5F71">
        <w:t>REQUIREMENTS FOR THE STUDENTS:</w:t>
      </w:r>
    </w:p>
    <w:p w:rsidR="005C31A2" w:rsidRPr="00BA5F71" w:rsidRDefault="005C31A2" w:rsidP="005C31A2">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rsidR="005C31A2" w:rsidRPr="00BA5F71" w:rsidRDefault="005C31A2" w:rsidP="005C31A2">
      <w:pPr>
        <w:pStyle w:val="Heading2"/>
      </w:pPr>
      <w:r w:rsidRPr="00BA5F71">
        <w:t>ATTENDANCE POLICY:</w:t>
      </w:r>
    </w:p>
    <w:p w:rsidR="005C31A2" w:rsidRPr="00BA5F71" w:rsidRDefault="005C31A2" w:rsidP="005C31A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5C31A2" w:rsidRPr="00BA5F71" w:rsidRDefault="005C31A2" w:rsidP="005C31A2">
      <w:pPr>
        <w:pStyle w:val="Heading2"/>
      </w:pPr>
      <w:r w:rsidRPr="00BA5F71">
        <w:t>GRADING POLICY:</w:t>
      </w:r>
    </w:p>
    <w:p w:rsidR="005C31A2" w:rsidRPr="00BA5F71" w:rsidRDefault="005C31A2" w:rsidP="005C31A2">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5C31A2" w:rsidRPr="007E3570" w:rsidTr="00D916A8">
        <w:trPr>
          <w:trHeight w:val="236"/>
          <w:tblHeader/>
          <w:jc w:val="center"/>
        </w:trPr>
        <w:tc>
          <w:tcPr>
            <w:tcW w:w="2122" w:type="dxa"/>
          </w:tcPr>
          <w:p w:rsidR="005C31A2" w:rsidRPr="007E3570" w:rsidRDefault="005C31A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5C31A2" w:rsidRPr="007E3570" w:rsidRDefault="005C31A2" w:rsidP="007E3570">
            <w:pPr>
              <w:rPr>
                <w:rFonts w:ascii="Calibri" w:hAnsi="Calibri" w:cs="Arial"/>
                <w:b/>
                <w:bCs/>
                <w:sz w:val="22"/>
                <w:szCs w:val="22"/>
              </w:rPr>
            </w:pPr>
            <w:r w:rsidRPr="007E3570">
              <w:rPr>
                <w:rFonts w:ascii="Calibri" w:hAnsi="Calibri" w:cs="Arial"/>
                <w:b/>
                <w:bCs/>
                <w:sz w:val="22"/>
                <w:szCs w:val="22"/>
              </w:rPr>
              <w:t>Letter Grade</w:t>
            </w:r>
          </w:p>
        </w:tc>
      </w:tr>
      <w:tr w:rsidR="005C31A2" w:rsidTr="00893DB2">
        <w:trPr>
          <w:trHeight w:val="236"/>
          <w:jc w:val="center"/>
        </w:trPr>
        <w:tc>
          <w:tcPr>
            <w:tcW w:w="2122" w:type="dxa"/>
          </w:tcPr>
          <w:p w:rsidR="005C31A2" w:rsidRDefault="005C31A2" w:rsidP="005A4AB8">
            <w:pPr>
              <w:rPr>
                <w:rFonts w:ascii="Calibri" w:hAnsi="Calibri" w:cs="Arial"/>
                <w:sz w:val="22"/>
                <w:szCs w:val="22"/>
              </w:rPr>
            </w:pPr>
            <w:r>
              <w:rPr>
                <w:rFonts w:ascii="Calibri" w:hAnsi="Calibri" w:cs="Arial"/>
                <w:sz w:val="22"/>
                <w:szCs w:val="22"/>
              </w:rPr>
              <w:t>90 - 100</w:t>
            </w:r>
          </w:p>
        </w:tc>
        <w:tc>
          <w:tcPr>
            <w:tcW w:w="1504" w:type="dxa"/>
          </w:tcPr>
          <w:p w:rsidR="005C31A2" w:rsidRDefault="005C31A2" w:rsidP="005A4AB8">
            <w:pPr>
              <w:jc w:val="center"/>
              <w:rPr>
                <w:rFonts w:ascii="Calibri" w:hAnsi="Calibri" w:cs="Arial"/>
                <w:sz w:val="22"/>
                <w:szCs w:val="22"/>
              </w:rPr>
            </w:pPr>
            <w:r>
              <w:rPr>
                <w:rFonts w:ascii="Calibri" w:hAnsi="Calibri" w:cs="Arial"/>
                <w:sz w:val="22"/>
                <w:szCs w:val="22"/>
              </w:rPr>
              <w:t>A</w:t>
            </w:r>
          </w:p>
        </w:tc>
      </w:tr>
      <w:tr w:rsidR="005C31A2" w:rsidTr="00893DB2">
        <w:trPr>
          <w:trHeight w:val="224"/>
          <w:jc w:val="center"/>
        </w:trPr>
        <w:tc>
          <w:tcPr>
            <w:tcW w:w="2122" w:type="dxa"/>
          </w:tcPr>
          <w:p w:rsidR="005C31A2" w:rsidRDefault="005C31A2" w:rsidP="005A4AB8">
            <w:pPr>
              <w:rPr>
                <w:rFonts w:ascii="Calibri" w:hAnsi="Calibri" w:cs="Arial"/>
                <w:sz w:val="22"/>
                <w:szCs w:val="22"/>
              </w:rPr>
            </w:pPr>
            <w:r>
              <w:rPr>
                <w:rFonts w:ascii="Calibri" w:hAnsi="Calibri" w:cs="Arial"/>
                <w:sz w:val="22"/>
                <w:szCs w:val="22"/>
              </w:rPr>
              <w:t>80 - 89</w:t>
            </w:r>
          </w:p>
        </w:tc>
        <w:tc>
          <w:tcPr>
            <w:tcW w:w="1504" w:type="dxa"/>
          </w:tcPr>
          <w:p w:rsidR="005C31A2" w:rsidRDefault="005C31A2" w:rsidP="005A4AB8">
            <w:pPr>
              <w:jc w:val="center"/>
              <w:rPr>
                <w:rFonts w:ascii="Calibri" w:hAnsi="Calibri" w:cs="Arial"/>
                <w:sz w:val="22"/>
                <w:szCs w:val="22"/>
              </w:rPr>
            </w:pPr>
            <w:r>
              <w:rPr>
                <w:rFonts w:ascii="Calibri" w:hAnsi="Calibri" w:cs="Arial"/>
                <w:sz w:val="22"/>
                <w:szCs w:val="22"/>
              </w:rPr>
              <w:t>B</w:t>
            </w:r>
          </w:p>
        </w:tc>
      </w:tr>
      <w:tr w:rsidR="005C31A2" w:rsidTr="00893DB2">
        <w:trPr>
          <w:trHeight w:val="236"/>
          <w:jc w:val="center"/>
        </w:trPr>
        <w:tc>
          <w:tcPr>
            <w:tcW w:w="2122" w:type="dxa"/>
          </w:tcPr>
          <w:p w:rsidR="005C31A2" w:rsidRDefault="005C31A2" w:rsidP="005A4AB8">
            <w:pPr>
              <w:rPr>
                <w:rFonts w:ascii="Calibri" w:hAnsi="Calibri" w:cs="Arial"/>
                <w:sz w:val="22"/>
                <w:szCs w:val="22"/>
              </w:rPr>
            </w:pPr>
            <w:r>
              <w:rPr>
                <w:rFonts w:ascii="Calibri" w:hAnsi="Calibri" w:cs="Arial"/>
                <w:sz w:val="22"/>
                <w:szCs w:val="22"/>
              </w:rPr>
              <w:t>70 - 79</w:t>
            </w:r>
          </w:p>
        </w:tc>
        <w:tc>
          <w:tcPr>
            <w:tcW w:w="1504" w:type="dxa"/>
          </w:tcPr>
          <w:p w:rsidR="005C31A2" w:rsidRDefault="005C31A2" w:rsidP="005A4AB8">
            <w:pPr>
              <w:jc w:val="center"/>
              <w:rPr>
                <w:rFonts w:ascii="Calibri" w:hAnsi="Calibri" w:cs="Arial"/>
                <w:sz w:val="22"/>
                <w:szCs w:val="22"/>
              </w:rPr>
            </w:pPr>
            <w:r>
              <w:rPr>
                <w:rFonts w:ascii="Calibri" w:hAnsi="Calibri" w:cs="Arial"/>
                <w:sz w:val="22"/>
                <w:szCs w:val="22"/>
              </w:rPr>
              <w:t>C</w:t>
            </w:r>
          </w:p>
        </w:tc>
      </w:tr>
      <w:tr w:rsidR="005C31A2" w:rsidTr="00893DB2">
        <w:trPr>
          <w:trHeight w:val="224"/>
          <w:jc w:val="center"/>
        </w:trPr>
        <w:tc>
          <w:tcPr>
            <w:tcW w:w="2122" w:type="dxa"/>
          </w:tcPr>
          <w:p w:rsidR="005C31A2" w:rsidRDefault="005C31A2" w:rsidP="005A4AB8">
            <w:pPr>
              <w:rPr>
                <w:rFonts w:ascii="Calibri" w:hAnsi="Calibri" w:cs="Arial"/>
                <w:sz w:val="22"/>
                <w:szCs w:val="22"/>
              </w:rPr>
            </w:pPr>
            <w:r>
              <w:rPr>
                <w:rFonts w:ascii="Calibri" w:hAnsi="Calibri" w:cs="Arial"/>
                <w:sz w:val="22"/>
                <w:szCs w:val="22"/>
              </w:rPr>
              <w:t>60 - 69</w:t>
            </w:r>
          </w:p>
        </w:tc>
        <w:tc>
          <w:tcPr>
            <w:tcW w:w="1504" w:type="dxa"/>
          </w:tcPr>
          <w:p w:rsidR="005C31A2" w:rsidRDefault="005C31A2" w:rsidP="005A4AB8">
            <w:pPr>
              <w:jc w:val="center"/>
              <w:rPr>
                <w:rFonts w:ascii="Calibri" w:hAnsi="Calibri" w:cs="Arial"/>
                <w:sz w:val="22"/>
                <w:szCs w:val="22"/>
              </w:rPr>
            </w:pPr>
            <w:r>
              <w:rPr>
                <w:rFonts w:ascii="Calibri" w:hAnsi="Calibri" w:cs="Arial"/>
                <w:sz w:val="22"/>
                <w:szCs w:val="22"/>
              </w:rPr>
              <w:t>D</w:t>
            </w:r>
          </w:p>
        </w:tc>
      </w:tr>
      <w:tr w:rsidR="005C31A2" w:rsidTr="00893DB2">
        <w:trPr>
          <w:trHeight w:val="236"/>
          <w:jc w:val="center"/>
        </w:trPr>
        <w:tc>
          <w:tcPr>
            <w:tcW w:w="2122" w:type="dxa"/>
          </w:tcPr>
          <w:p w:rsidR="005C31A2" w:rsidRDefault="005C31A2" w:rsidP="005A4AB8">
            <w:pPr>
              <w:rPr>
                <w:rFonts w:ascii="Calibri" w:hAnsi="Calibri" w:cs="Arial"/>
                <w:sz w:val="22"/>
                <w:szCs w:val="22"/>
              </w:rPr>
            </w:pPr>
            <w:r>
              <w:rPr>
                <w:rFonts w:ascii="Calibri" w:hAnsi="Calibri" w:cs="Arial"/>
                <w:sz w:val="22"/>
                <w:szCs w:val="22"/>
              </w:rPr>
              <w:t>Below 60</w:t>
            </w:r>
          </w:p>
        </w:tc>
        <w:tc>
          <w:tcPr>
            <w:tcW w:w="1504" w:type="dxa"/>
          </w:tcPr>
          <w:p w:rsidR="005C31A2" w:rsidRDefault="005C31A2" w:rsidP="005A4AB8">
            <w:pPr>
              <w:jc w:val="center"/>
              <w:rPr>
                <w:rFonts w:ascii="Calibri" w:hAnsi="Calibri" w:cs="Arial"/>
                <w:sz w:val="22"/>
                <w:szCs w:val="22"/>
              </w:rPr>
            </w:pPr>
            <w:r>
              <w:rPr>
                <w:rFonts w:ascii="Calibri" w:hAnsi="Calibri" w:cs="Arial"/>
                <w:sz w:val="22"/>
                <w:szCs w:val="22"/>
              </w:rPr>
              <w:t>F</w:t>
            </w:r>
          </w:p>
        </w:tc>
      </w:tr>
    </w:tbl>
    <w:p w:rsidR="005C31A2" w:rsidRPr="00BA5F71" w:rsidRDefault="005C31A2" w:rsidP="005C31A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5C31A2" w:rsidRPr="00BA5F71" w:rsidRDefault="005C31A2" w:rsidP="005C31A2">
      <w:pPr>
        <w:pStyle w:val="Heading2"/>
      </w:pPr>
      <w:r w:rsidRPr="00BA5F71">
        <w:t>REQUIRED COURSE MATERIALS:</w:t>
      </w:r>
    </w:p>
    <w:p w:rsidR="005C31A2" w:rsidRPr="00BA5F71" w:rsidRDefault="005C31A2" w:rsidP="005C31A2">
      <w:pPr>
        <w:spacing w:after="240"/>
        <w:ind w:left="720"/>
        <w:rPr>
          <w:rFonts w:ascii="Calibri" w:hAnsi="Calibri" w:cs="Arial"/>
          <w:sz w:val="22"/>
          <w:szCs w:val="22"/>
        </w:rPr>
      </w:pPr>
      <w:r w:rsidRPr="00BA5F71">
        <w:rPr>
          <w:rFonts w:ascii="Calibri" w:hAnsi="Calibri" w:cs="Arial"/>
          <w:sz w:val="22"/>
          <w:szCs w:val="22"/>
        </w:rPr>
        <w:t>(In correct bibliographic format.)</w:t>
      </w:r>
    </w:p>
    <w:p w:rsidR="005C31A2" w:rsidRPr="00BA5F71" w:rsidRDefault="005C31A2" w:rsidP="005C31A2">
      <w:pPr>
        <w:pStyle w:val="Heading2"/>
      </w:pPr>
      <w:r w:rsidRPr="00BA5F71">
        <w:t>RESERVED MATERIALS FOR THE COURSE:</w:t>
      </w:r>
    </w:p>
    <w:p w:rsidR="005C31A2" w:rsidRPr="00BA5F71" w:rsidRDefault="005C31A2" w:rsidP="005C31A2">
      <w:pPr>
        <w:spacing w:after="240"/>
        <w:ind w:left="720"/>
        <w:rPr>
          <w:rFonts w:ascii="Calibri" w:hAnsi="Calibri" w:cs="Arial"/>
          <w:sz w:val="22"/>
          <w:szCs w:val="22"/>
        </w:rPr>
      </w:pPr>
      <w:r w:rsidRPr="00BA5F71">
        <w:rPr>
          <w:rFonts w:ascii="Calibri" w:hAnsi="Calibri" w:cs="Arial"/>
          <w:sz w:val="22"/>
          <w:szCs w:val="22"/>
        </w:rPr>
        <w:t>Other special learning resources.</w:t>
      </w:r>
    </w:p>
    <w:p w:rsidR="005C31A2" w:rsidRPr="00BA5F71" w:rsidRDefault="005C31A2" w:rsidP="005C31A2">
      <w:pPr>
        <w:pStyle w:val="Heading2"/>
      </w:pPr>
      <w:r w:rsidRPr="00BA5F71">
        <w:t>CLASS SCHEDULE:</w:t>
      </w:r>
    </w:p>
    <w:p w:rsidR="005C31A2" w:rsidRPr="00BA5F71" w:rsidRDefault="005C31A2" w:rsidP="005C31A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5C31A2" w:rsidRPr="00BA5F71" w:rsidRDefault="005C31A2" w:rsidP="005C31A2">
      <w:pPr>
        <w:pStyle w:val="Heading2"/>
      </w:pPr>
      <w:r w:rsidRPr="00BA5F71">
        <w:t>ANY OTHER INFORMATION OR CLASS PROCEDURES OR POLICIES:</w:t>
      </w:r>
    </w:p>
    <w:p w:rsidR="005C31A2" w:rsidRDefault="005C31A2" w:rsidP="005C31A2">
      <w:pPr>
        <w:ind w:left="720"/>
        <w:rPr>
          <w:rFonts w:ascii="Calibri" w:hAnsi="Calibri" w:cs="Arial"/>
          <w:sz w:val="22"/>
          <w:szCs w:val="22"/>
        </w:rPr>
      </w:pPr>
      <w:r w:rsidRPr="00BA5F71">
        <w:rPr>
          <w:rFonts w:ascii="Calibri" w:hAnsi="Calibri" w:cs="Arial"/>
          <w:sz w:val="22"/>
          <w:szCs w:val="22"/>
        </w:rPr>
        <w:t>(Which would be useful to the students in the class.)</w:t>
      </w:r>
    </w:p>
    <w:p w:rsidR="00160D16" w:rsidRPr="005C31A2" w:rsidRDefault="00160D16" w:rsidP="005C31A2"/>
    <w:sectPr w:rsidR="00160D16" w:rsidRPr="005C31A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1A2" w:rsidRDefault="005C31A2" w:rsidP="003A608C">
      <w:r>
        <w:separator/>
      </w:r>
    </w:p>
  </w:endnote>
  <w:endnote w:type="continuationSeparator" w:id="0">
    <w:p w:rsidR="005C31A2" w:rsidRDefault="005C31A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1A2" w:rsidRPr="0056733A" w:rsidRDefault="005C31A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1A2" w:rsidRPr="0004495F" w:rsidRDefault="005C31A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1A2" w:rsidRDefault="005C31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5C31A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5C31A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1A2" w:rsidRDefault="005C31A2" w:rsidP="003A608C">
      <w:r>
        <w:separator/>
      </w:r>
    </w:p>
  </w:footnote>
  <w:footnote w:type="continuationSeparator" w:id="0">
    <w:p w:rsidR="005C31A2" w:rsidRDefault="005C31A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1A2" w:rsidRPr="00FD0895" w:rsidRDefault="005C31A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673B23">
      <w:rPr>
        <w:rFonts w:ascii="Calibri" w:hAnsi="Calibri" w:cs="Arial"/>
        <w:noProof/>
        <w:sz w:val="22"/>
        <w:szCs w:val="22"/>
      </w:rPr>
      <w:t>BUL</w:t>
    </w:r>
    <w:r>
      <w:rPr>
        <w:rFonts w:ascii="Calibri" w:hAnsi="Calibri" w:cs="Arial"/>
        <w:noProof/>
        <w:sz w:val="22"/>
        <w:szCs w:val="22"/>
      </w:rPr>
      <w:t xml:space="preserve"> </w:t>
    </w:r>
    <w:r w:rsidRPr="00673B23">
      <w:rPr>
        <w:rFonts w:ascii="Calibri" w:hAnsi="Calibri" w:cs="Arial"/>
        <w:noProof/>
        <w:sz w:val="22"/>
        <w:szCs w:val="22"/>
      </w:rPr>
      <w:t>2561</w:t>
    </w:r>
    <w:r>
      <w:rPr>
        <w:rFonts w:ascii="Calibri" w:hAnsi="Calibri" w:cs="Arial"/>
        <w:noProof/>
        <w:sz w:val="22"/>
        <w:szCs w:val="22"/>
      </w:rPr>
      <w:t xml:space="preserve"> </w:t>
    </w:r>
    <w:r w:rsidRPr="00673B23">
      <w:rPr>
        <w:rFonts w:ascii="Calibri" w:hAnsi="Calibri" w:cs="Arial"/>
        <w:noProof/>
        <w:sz w:val="22"/>
        <w:szCs w:val="22"/>
      </w:rPr>
      <w:t>Cyber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1A2" w:rsidRDefault="005C31A2" w:rsidP="0004495F">
    <w:pPr>
      <w:pStyle w:val="Header"/>
      <w:jc w:val="right"/>
    </w:pPr>
    <w:r w:rsidRPr="00D55873">
      <w:rPr>
        <w:noProof/>
        <w:lang w:eastAsia="en-US"/>
      </w:rPr>
      <w:drawing>
        <wp:inline distT="0" distB="0" distL="0" distR="0" wp14:anchorId="44DBD657" wp14:editId="40BA977B">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C31A2" w:rsidRPr="0004495F" w:rsidRDefault="005C31A2" w:rsidP="0004495F">
    <w:pPr>
      <w:pStyle w:val="Header"/>
      <w:contextualSpacing/>
      <w:jc w:val="right"/>
      <w:rPr>
        <w:b/>
        <w:color w:val="470A68"/>
        <w:sz w:val="28"/>
      </w:rPr>
    </w:pPr>
    <w:r w:rsidRPr="00673B23">
      <w:rPr>
        <w:b/>
        <w:noProof/>
        <w:color w:val="470A68"/>
        <w:sz w:val="28"/>
      </w:rPr>
      <w:t>School of Business &amp; Technology</w:t>
    </w:r>
    <w:r>
      <w:rPr>
        <w:noProof/>
        <w:lang w:eastAsia="en-US"/>
      </w:rPr>
      <mc:AlternateContent>
        <mc:Choice Requires="wps">
          <w:drawing>
            <wp:inline distT="0" distB="0" distL="0" distR="0" wp14:anchorId="51521549" wp14:editId="550775EC">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C451B8" id="_x0000_t32" coordsize="21600,21600" o:spt="32" o:oned="t" path="m,l21600,21600e" filled="f">
              <v:path arrowok="t" fillok="f" o:connecttype="none"/>
              <o:lock v:ext="edit" shapetype="t"/>
            </v:shapetype>
            <v:shape id="Straight Arrow Connector 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B1U5js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1A2" w:rsidRDefault="005C31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5C31A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673B23">
      <w:rPr>
        <w:rFonts w:ascii="Calibri" w:hAnsi="Calibri" w:cs="Arial"/>
        <w:noProof/>
        <w:sz w:val="22"/>
        <w:szCs w:val="22"/>
      </w:rPr>
      <w:t>BUL</w:t>
    </w:r>
    <w:r>
      <w:rPr>
        <w:rFonts w:ascii="Calibri" w:hAnsi="Calibri" w:cs="Arial"/>
        <w:noProof/>
        <w:sz w:val="22"/>
        <w:szCs w:val="22"/>
      </w:rPr>
      <w:t xml:space="preserve"> </w:t>
    </w:r>
    <w:r w:rsidRPr="00673B23">
      <w:rPr>
        <w:rFonts w:ascii="Calibri" w:hAnsi="Calibri" w:cs="Arial"/>
        <w:noProof/>
        <w:sz w:val="22"/>
        <w:szCs w:val="22"/>
      </w:rPr>
      <w:t>2561</w:t>
    </w:r>
    <w:r>
      <w:rPr>
        <w:rFonts w:ascii="Calibri" w:hAnsi="Calibri" w:cs="Arial"/>
        <w:noProof/>
        <w:sz w:val="22"/>
        <w:szCs w:val="22"/>
      </w:rPr>
      <w:t xml:space="preserve"> </w:t>
    </w:r>
    <w:r w:rsidRPr="00673B23">
      <w:rPr>
        <w:rFonts w:ascii="Calibri" w:hAnsi="Calibri" w:cs="Arial"/>
        <w:noProof/>
        <w:sz w:val="22"/>
        <w:szCs w:val="22"/>
      </w:rPr>
      <w:t>Cyber Law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1A2" w:rsidRDefault="005C31A2" w:rsidP="005C31A2">
    <w:pPr>
      <w:pStyle w:val="Header"/>
      <w:jc w:val="right"/>
    </w:pPr>
    <w:r w:rsidRPr="00D55873">
      <w:rPr>
        <w:noProof/>
        <w:lang w:eastAsia="en-US"/>
      </w:rPr>
      <w:drawing>
        <wp:inline distT="0" distB="0" distL="0" distR="0" wp14:anchorId="302D3E4C" wp14:editId="52BBC3E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5C31A2" w:rsidP="005C31A2">
    <w:pPr>
      <w:pStyle w:val="Header"/>
      <w:contextualSpacing/>
      <w:jc w:val="right"/>
      <w:rPr>
        <w:b/>
        <w:color w:val="470A68"/>
        <w:sz w:val="28"/>
      </w:rPr>
    </w:pPr>
    <w:r w:rsidRPr="00673B23">
      <w:rPr>
        <w:b/>
        <w:noProof/>
        <w:color w:val="470A68"/>
        <w:sz w:val="28"/>
      </w:rPr>
      <w:t>School of Business &amp; Technology</w:t>
    </w:r>
    <w:r>
      <w:rPr>
        <w:noProof/>
        <w:lang w:eastAsia="en-US"/>
      </w:rPr>
      <mc:AlternateContent>
        <mc:Choice Requires="wps">
          <w:drawing>
            <wp:inline distT="0" distB="0" distL="0" distR="0" wp14:anchorId="085723AD" wp14:editId="1200648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38C637"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404DF0"/>
    <w:multiLevelType w:val="hybridMultilevel"/>
    <w:tmpl w:val="32881510"/>
    <w:lvl w:ilvl="0" w:tplc="B8063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5"/>
  </w:num>
  <w:num w:numId="17">
    <w:abstractNumId w:val="19"/>
  </w:num>
  <w:num w:numId="18">
    <w:abstractNumId w:val="13"/>
  </w:num>
  <w:num w:numId="19">
    <w:abstractNumId w:val="18"/>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yzmeydQe0/ejXNDttQQYznrAUxT/RK9vSrVAUk9l1boBt/kQphJ/x0Xo37cQ6HeTnuZQMle3EvBttbVqDUg==" w:salt="jwyOAebazBaDT0eum3UnY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0D16"/>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53E0"/>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1B62"/>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1A2"/>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95D60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110E080F784C83BEB643FEBF5CD4D9"/>
        <w:category>
          <w:name w:val="General"/>
          <w:gallery w:val="placeholder"/>
        </w:category>
        <w:types>
          <w:type w:val="bbPlcHdr"/>
        </w:types>
        <w:behaviors>
          <w:behavior w:val="content"/>
        </w:behaviors>
        <w:guid w:val="{BB5CA5DE-A721-42E6-8788-C5C0023A9AAA}"/>
      </w:docPartPr>
      <w:docPartBody>
        <w:p w:rsidR="00D7701A" w:rsidRDefault="002D579E" w:rsidP="002D579E">
          <w:pPr>
            <w:pStyle w:val="44110E080F784C83BEB643FEBF5CD4D9"/>
          </w:pPr>
          <w:r w:rsidRPr="00EF2604">
            <w:rPr>
              <w:rStyle w:val="PlaceholderText"/>
            </w:rPr>
            <w:t>Click or tap here to enter text.</w:t>
          </w:r>
        </w:p>
      </w:docPartBody>
    </w:docPart>
    <w:docPart>
      <w:docPartPr>
        <w:name w:val="4640F6B6B9AA4471B073F4D81836B94C"/>
        <w:category>
          <w:name w:val="General"/>
          <w:gallery w:val="placeholder"/>
        </w:category>
        <w:types>
          <w:type w:val="bbPlcHdr"/>
        </w:types>
        <w:behaviors>
          <w:behavior w:val="content"/>
        </w:behaviors>
        <w:guid w:val="{BFCB3007-9463-4BE7-B4C4-E998BC5F6935}"/>
      </w:docPartPr>
      <w:docPartBody>
        <w:p w:rsidR="00D7701A" w:rsidRDefault="002D579E" w:rsidP="002D579E">
          <w:pPr>
            <w:pStyle w:val="4640F6B6B9AA4471B073F4D81836B94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2D579E"/>
    <w:rsid w:val="008F404E"/>
    <w:rsid w:val="00925DBE"/>
    <w:rsid w:val="009C4F16"/>
    <w:rsid w:val="00AD12F8"/>
    <w:rsid w:val="00AD685D"/>
    <w:rsid w:val="00BA5E56"/>
    <w:rsid w:val="00CD67AD"/>
    <w:rsid w:val="00D7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79E"/>
    <w:rPr>
      <w:color w:val="808080"/>
    </w:rPr>
  </w:style>
  <w:style w:type="paragraph" w:customStyle="1" w:styleId="767DC51BFAA14036A68D83612B2D1FC2">
    <w:name w:val="767DC51BFAA14036A68D83612B2D1FC2"/>
    <w:rsid w:val="00BA5E56"/>
  </w:style>
  <w:style w:type="paragraph" w:customStyle="1" w:styleId="44110E080F784C83BEB643FEBF5CD4D9">
    <w:name w:val="44110E080F784C83BEB643FEBF5CD4D9"/>
    <w:rsid w:val="002D579E"/>
  </w:style>
  <w:style w:type="paragraph" w:customStyle="1" w:styleId="4640F6B6B9AA4471B073F4D81836B94C">
    <w:name w:val="4640F6B6B9AA4471B073F4D81836B94C"/>
    <w:rsid w:val="002D5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12D74-236A-41DA-9097-4A35C256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3</cp:revision>
  <dcterms:created xsi:type="dcterms:W3CDTF">2022-08-10T17:23:00Z</dcterms:created>
  <dcterms:modified xsi:type="dcterms:W3CDTF">2022-08-10T17:38:00Z</dcterms:modified>
</cp:coreProperties>
</file>