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C96AE0" w:rsidRPr="00C96AE0" w14:paraId="40B8EAC7" w14:textId="77777777" w:rsidTr="00F62D54">
        <w:trPr>
          <w:tblCellSpacing w:w="15" w:type="dxa"/>
        </w:trPr>
        <w:tc>
          <w:tcPr>
            <w:tcW w:w="4977" w:type="pct"/>
            <w:shd w:val="clear" w:color="auto" w:fill="FFFFFF"/>
            <w:tcMar>
              <w:top w:w="0" w:type="dxa"/>
              <w:left w:w="0" w:type="dxa"/>
              <w:bottom w:w="0" w:type="dxa"/>
              <w:right w:w="0" w:type="dxa"/>
            </w:tcMar>
            <w:hideMark/>
          </w:tcPr>
          <w:tbl>
            <w:tblPr>
              <w:tblW w:w="9789" w:type="dxa"/>
              <w:tblCellSpacing w:w="15" w:type="dxa"/>
              <w:tblCellMar>
                <w:top w:w="15" w:type="dxa"/>
                <w:left w:w="15" w:type="dxa"/>
                <w:bottom w:w="15" w:type="dxa"/>
                <w:right w:w="15" w:type="dxa"/>
              </w:tblCellMar>
              <w:tblLook w:val="04A0" w:firstRow="1" w:lastRow="0" w:firstColumn="1" w:lastColumn="0" w:noHBand="0" w:noVBand="1"/>
            </w:tblPr>
            <w:tblGrid>
              <w:gridCol w:w="9789"/>
            </w:tblGrid>
            <w:tr w:rsidR="00C96AE0" w:rsidRPr="00C96AE0" w14:paraId="76A56363" w14:textId="77777777" w:rsidTr="001341D2">
              <w:trPr>
                <w:trHeight w:val="640"/>
                <w:tblCellSpacing w:w="15" w:type="dxa"/>
              </w:trPr>
              <w:tc>
                <w:tcPr>
                  <w:tcW w:w="0" w:type="auto"/>
                  <w:tcMar>
                    <w:top w:w="0" w:type="dxa"/>
                    <w:left w:w="0" w:type="dxa"/>
                    <w:bottom w:w="0" w:type="dxa"/>
                    <w:right w:w="0" w:type="dxa"/>
                  </w:tcMar>
                  <w:hideMark/>
                </w:tcPr>
                <w:p w14:paraId="7AB46C23" w14:textId="77777777" w:rsidR="00C96AE0" w:rsidRPr="00C96AE0" w:rsidRDefault="00C96AE0" w:rsidP="00C96AE0">
                  <w:pPr>
                    <w:spacing w:before="150" w:after="150"/>
                    <w:textAlignment w:val="baseline"/>
                    <w:outlineLvl w:val="0"/>
                    <w:rPr>
                      <w:rFonts w:ascii="Century Gothic" w:eastAsia="Times New Roman" w:hAnsi="Century Gothic" w:cs="Times New Roman"/>
                      <w:b/>
                      <w:bCs/>
                      <w:color w:val="734E8E"/>
                      <w:kern w:val="36"/>
                      <w:sz w:val="33"/>
                      <w:szCs w:val="33"/>
                    </w:rPr>
                  </w:pPr>
                  <w:r w:rsidRPr="00C96AE0">
                    <w:rPr>
                      <w:rFonts w:ascii="Century Gothic" w:eastAsia="Times New Roman" w:hAnsi="Century Gothic" w:cs="Times New Roman"/>
                      <w:b/>
                      <w:bCs/>
                      <w:color w:val="734E8E"/>
                      <w:kern w:val="36"/>
                      <w:sz w:val="33"/>
                      <w:szCs w:val="33"/>
                    </w:rPr>
                    <w:t>Associate in Arts, AA</w:t>
                  </w:r>
                </w:p>
              </w:tc>
            </w:tr>
            <w:tr w:rsidR="00C96AE0" w:rsidRPr="00C96AE0" w14:paraId="337B8CAA" w14:textId="77777777" w:rsidTr="001341D2">
              <w:trPr>
                <w:trHeight w:val="242"/>
                <w:tblCellSpacing w:w="15" w:type="dxa"/>
              </w:trPr>
              <w:tc>
                <w:tcPr>
                  <w:tcW w:w="0" w:type="auto"/>
                  <w:tcMar>
                    <w:top w:w="0" w:type="dxa"/>
                    <w:left w:w="0" w:type="dxa"/>
                    <w:bottom w:w="0" w:type="dxa"/>
                    <w:right w:w="0" w:type="dxa"/>
                  </w:tcMar>
                  <w:hideMark/>
                </w:tcPr>
                <w:p w14:paraId="41E2C3BA" w14:textId="77777777" w:rsidR="00C96AE0" w:rsidRPr="00C96AE0" w:rsidRDefault="00A85005" w:rsidP="00C96AE0">
                  <w:pPr>
                    <w:spacing w:after="0"/>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4CB850E1">
                      <v:rect id="_x0000_i1025" style="width:0;height:0" o:hralign="center" o:hrstd="t" o:hr="t" fillcolor="#a0a0a0" stroked="f"/>
                    </w:pict>
                  </w:r>
                </w:p>
              </w:tc>
            </w:tr>
          </w:tbl>
          <w:p w14:paraId="25D02449" w14:textId="77777777" w:rsidR="00C96AE0" w:rsidRPr="00C96AE0" w:rsidRDefault="00C96AE0" w:rsidP="00C96AE0">
            <w:pPr>
              <w:spacing w:after="0"/>
              <w:textAlignment w:val="baseline"/>
              <w:rPr>
                <w:rFonts w:ascii="inherit" w:eastAsia="Times New Roman" w:hAnsi="inherit" w:cs="Times New Roman"/>
                <w:color w:val="666666"/>
                <w:sz w:val="21"/>
                <w:szCs w:val="21"/>
              </w:rPr>
            </w:pPr>
            <w:r w:rsidRPr="00C96AE0">
              <w:rPr>
                <w:rFonts w:ascii="inherit" w:eastAsia="Times New Roman" w:hAnsi="inherit" w:cs="Times New Roman"/>
                <w:noProof/>
                <w:color w:val="666666"/>
                <w:sz w:val="21"/>
                <w:szCs w:val="21"/>
              </w:rPr>
              <w:drawing>
                <wp:inline distT="0" distB="0" distL="0" distR="0" wp14:anchorId="74EEEF80" wp14:editId="0D670680">
                  <wp:extent cx="123825" cy="133350"/>
                  <wp:effectExtent l="0" t="0" r="9525" b="0"/>
                  <wp:docPr id="10" name="Picture 10"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C96AE0">
              <w:rPr>
                <w:rFonts w:ascii="inherit" w:eastAsia="Times New Roman" w:hAnsi="inherit" w:cs="Times New Roman"/>
                <w:color w:val="666666"/>
                <w:sz w:val="21"/>
                <w:szCs w:val="21"/>
              </w:rPr>
              <w:t> Return to: </w:t>
            </w:r>
            <w:hyperlink r:id="rId6" w:history="1">
              <w:r w:rsidRPr="00C96AE0">
                <w:rPr>
                  <w:rFonts w:ascii="Century Gothic" w:eastAsia="Times New Roman" w:hAnsi="Century Gothic" w:cs="Times New Roman"/>
                  <w:color w:val="41A5A3"/>
                  <w:sz w:val="21"/>
                  <w:szCs w:val="21"/>
                  <w:bdr w:val="none" w:sz="0" w:space="0" w:color="auto" w:frame="1"/>
                </w:rPr>
                <w:t>Programs of Study</w:t>
              </w:r>
            </w:hyperlink>
          </w:p>
          <w:p w14:paraId="3D0CC5C8" w14:textId="77777777" w:rsidR="00C96AE0" w:rsidRPr="00C96AE0" w:rsidRDefault="00C96AE0" w:rsidP="00C96AE0">
            <w:pPr>
              <w:spacing w:before="300" w:after="150"/>
              <w:textAlignment w:val="baseline"/>
              <w:outlineLvl w:val="1"/>
              <w:rPr>
                <w:rFonts w:ascii="Century Gothic" w:eastAsia="Times New Roman" w:hAnsi="Century Gothic" w:cs="Times New Roman"/>
                <w:b/>
                <w:bCs/>
                <w:color w:val="734E8E"/>
                <w:sz w:val="30"/>
                <w:szCs w:val="30"/>
              </w:rPr>
            </w:pPr>
            <w:r w:rsidRPr="00C96AE0">
              <w:rPr>
                <w:rFonts w:ascii="Century Gothic" w:eastAsia="Times New Roman" w:hAnsi="Century Gothic" w:cs="Times New Roman"/>
                <w:b/>
                <w:bCs/>
                <w:color w:val="734E8E"/>
                <w:sz w:val="30"/>
                <w:szCs w:val="30"/>
              </w:rPr>
              <w:t>60 Credits</w:t>
            </w:r>
          </w:p>
          <w:p w14:paraId="2E0C6B84" w14:textId="4C71B179" w:rsidR="00C96AE0" w:rsidRDefault="00C96AE0" w:rsidP="00C96AE0">
            <w:pPr>
              <w:spacing w:after="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The Associate in Arts degree is a total of 60 credits to include 36 general education credits available through the School of Arts, Humanities, and Social Sciences and the School of Pure and Applied Sciences.  Students must refer to the Florida SouthWestern State College </w:t>
            </w:r>
            <w:hyperlink r:id="rId7" w:tgtFrame="_blank" w:history="1">
              <w:r w:rsidRPr="00C96AE0">
                <w:rPr>
                  <w:rFonts w:ascii="Century Gothic" w:eastAsia="Times New Roman" w:hAnsi="Century Gothic" w:cs="Times New Roman"/>
                  <w:color w:val="41A5A3"/>
                  <w:sz w:val="21"/>
                  <w:szCs w:val="21"/>
                  <w:bdr w:val="none" w:sz="0" w:space="0" w:color="auto" w:frame="1"/>
                </w:rPr>
                <w:t>General Education Program Guide</w:t>
              </w:r>
            </w:hyperlink>
            <w:r w:rsidRPr="00C96AE0">
              <w:rPr>
                <w:rFonts w:ascii="Century Gothic" w:eastAsia="Times New Roman" w:hAnsi="Century Gothic" w:cs="Times New Roman"/>
                <w:color w:val="666666"/>
                <w:sz w:val="21"/>
                <w:szCs w:val="21"/>
              </w:rPr>
              <w:t> for the selection of appropriate general education courses.  The 24 remaining credits are electives and may come from any discipline area as long as the course is not designated as an Associate in Science (AS) course.</w:t>
            </w:r>
          </w:p>
          <w:p w14:paraId="40B242BA" w14:textId="77777777" w:rsidR="00C96AE0" w:rsidRPr="00C96AE0" w:rsidRDefault="00C96AE0" w:rsidP="00C96AE0">
            <w:pPr>
              <w:spacing w:after="0"/>
              <w:textAlignment w:val="baseline"/>
              <w:rPr>
                <w:rFonts w:ascii="Century Gothic" w:eastAsia="Times New Roman" w:hAnsi="Century Gothic" w:cs="Times New Roman"/>
                <w:color w:val="666666"/>
                <w:sz w:val="21"/>
                <w:szCs w:val="21"/>
              </w:rPr>
            </w:pPr>
          </w:p>
          <w:p w14:paraId="2D8562F9" w14:textId="7F11635E" w:rsidR="00C96AE0" w:rsidRDefault="00C96AE0" w:rsidP="00C96AE0">
            <w:pPr>
              <w:spacing w:after="240"/>
              <w:textAlignment w:val="baseline"/>
              <w:rPr>
                <w:rFonts w:ascii="Century Gothic" w:eastAsia="Times New Roman" w:hAnsi="Century Gothic" w:cs="Times New Roman"/>
                <w:b/>
                <w:bCs/>
                <w:i/>
                <w:iCs/>
                <w:color w:val="666666"/>
                <w:sz w:val="21"/>
                <w:szCs w:val="21"/>
                <w:bdr w:val="none" w:sz="0" w:space="0" w:color="auto" w:frame="1"/>
              </w:rPr>
            </w:pPr>
            <w:r w:rsidRPr="00C96AE0">
              <w:rPr>
                <w:rFonts w:ascii="Century Gothic" w:eastAsia="Times New Roman" w:hAnsi="Century Gothic" w:cs="Times New Roman"/>
                <w:b/>
                <w:bCs/>
                <w:i/>
                <w:iCs/>
                <w:color w:val="666666"/>
                <w:sz w:val="21"/>
                <w:szCs w:val="21"/>
                <w:bdr w:val="none" w:sz="0" w:space="0" w:color="auto" w:frame="1"/>
              </w:rPr>
              <w:t>Note:  3000-4999 level courses will not be considered as satisfying any AA Degree Requirements</w:t>
            </w:r>
          </w:p>
          <w:p w14:paraId="591DF719" w14:textId="77777777" w:rsidR="00C96AE0" w:rsidRPr="00C96AE0" w:rsidRDefault="00C96AE0" w:rsidP="00C96AE0">
            <w:pPr>
              <w:spacing w:after="0"/>
              <w:textAlignment w:val="baseline"/>
              <w:rPr>
                <w:rFonts w:ascii="Century Gothic" w:eastAsia="Times New Roman" w:hAnsi="Century Gothic" w:cs="Times New Roman"/>
                <w:color w:val="666666"/>
                <w:sz w:val="21"/>
                <w:szCs w:val="21"/>
              </w:rPr>
            </w:pPr>
          </w:p>
          <w:p w14:paraId="297ACFE7" w14:textId="77777777" w:rsidR="00C96AE0" w:rsidRDefault="00C96AE0" w:rsidP="00C96AE0">
            <w:pPr>
              <w:spacing w:after="240"/>
              <w:jc w:val="center"/>
              <w:textAlignment w:val="baseline"/>
              <w:rPr>
                <w:rFonts w:ascii="inherit" w:eastAsia="Times New Roman" w:hAnsi="inherit" w:cs="Times New Roman"/>
                <w:color w:val="666666"/>
                <w:sz w:val="21"/>
                <w:szCs w:val="21"/>
              </w:rPr>
            </w:pPr>
            <w:r w:rsidRPr="00C96AE0">
              <w:rPr>
                <w:rFonts w:ascii="inherit" w:eastAsia="Times New Roman" w:hAnsi="inherit" w:cs="Times New Roman"/>
                <w:b/>
                <w:bCs/>
                <w:i/>
                <w:iCs/>
                <w:noProof/>
                <w:color w:val="666666"/>
                <w:sz w:val="21"/>
                <w:szCs w:val="21"/>
                <w:bdr w:val="none" w:sz="0" w:space="0" w:color="auto" w:frame="1"/>
              </w:rPr>
              <w:drawing>
                <wp:inline distT="0" distB="0" distL="0" distR="0" wp14:anchorId="44711FDC" wp14:editId="42E02013">
                  <wp:extent cx="3429000" cy="2066925"/>
                  <wp:effectExtent l="0" t="0" r="0" b="9525"/>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66925"/>
                          </a:xfrm>
                          <a:prstGeom prst="rect">
                            <a:avLst/>
                          </a:prstGeom>
                          <a:noFill/>
                          <a:ln>
                            <a:noFill/>
                          </a:ln>
                        </pic:spPr>
                      </pic:pic>
                    </a:graphicData>
                  </a:graphic>
                </wp:inline>
              </w:drawing>
            </w:r>
          </w:p>
          <w:p w14:paraId="7132B0E3" w14:textId="11B6B642" w:rsidR="00C96AE0" w:rsidRPr="00C96AE0" w:rsidRDefault="00C96AE0" w:rsidP="00C96AE0">
            <w:pPr>
              <w:spacing w:after="0"/>
              <w:jc w:val="center"/>
              <w:textAlignment w:val="baseline"/>
              <w:rPr>
                <w:rFonts w:ascii="inherit" w:eastAsia="Times New Roman" w:hAnsi="inherit" w:cs="Times New Roman"/>
                <w:color w:val="666666"/>
                <w:sz w:val="21"/>
                <w:szCs w:val="21"/>
              </w:rPr>
            </w:pPr>
          </w:p>
        </w:tc>
      </w:tr>
      <w:tr w:rsidR="00C96AE0" w:rsidRPr="00C96AE0" w14:paraId="1DD44F32" w14:textId="77777777" w:rsidTr="00F62D54">
        <w:trPr>
          <w:tblCellSpacing w:w="15" w:type="dxa"/>
        </w:trPr>
        <w:tc>
          <w:tcPr>
            <w:tcW w:w="4977" w:type="pct"/>
            <w:shd w:val="clear" w:color="auto" w:fill="FFFFFF"/>
            <w:tcMar>
              <w:top w:w="0" w:type="dxa"/>
              <w:left w:w="0" w:type="dxa"/>
              <w:bottom w:w="0" w:type="dxa"/>
              <w:right w:w="0" w:type="dxa"/>
            </w:tcMar>
            <w:hideMark/>
          </w:tcPr>
          <w:p w14:paraId="1113A6F1" w14:textId="1C4ED9A9" w:rsidR="00C96AE0" w:rsidRPr="00C96AE0" w:rsidRDefault="00C96AE0" w:rsidP="00C96AE0">
            <w:pPr>
              <w:spacing w:after="0"/>
              <w:textAlignment w:val="baseline"/>
              <w:outlineLvl w:val="1"/>
              <w:rPr>
                <w:rFonts w:ascii="Century Gothic" w:eastAsia="Times New Roman" w:hAnsi="Century Gothic" w:cs="Times New Roman"/>
                <w:b/>
                <w:bCs/>
                <w:color w:val="734E8E"/>
                <w:sz w:val="30"/>
                <w:szCs w:val="30"/>
              </w:rPr>
            </w:pPr>
            <w:bookmarkStart w:id="0" w:name="RequiredGeneralEducationCoursesForTheAss"/>
            <w:bookmarkEnd w:id="0"/>
            <w:r w:rsidRPr="00C96AE0">
              <w:rPr>
                <w:rFonts w:ascii="Century Gothic" w:eastAsia="Times New Roman" w:hAnsi="Century Gothic" w:cs="Times New Roman"/>
                <w:b/>
                <w:bCs/>
                <w:color w:val="734E8E"/>
                <w:sz w:val="30"/>
                <w:szCs w:val="30"/>
              </w:rPr>
              <w:t xml:space="preserve">Required General Education Courses for the Associate in Arts: 36 </w:t>
            </w:r>
            <w:r w:rsidR="00AF561D">
              <w:rPr>
                <w:rFonts w:ascii="Century Gothic" w:eastAsia="Times New Roman" w:hAnsi="Century Gothic" w:cs="Times New Roman"/>
                <w:b/>
                <w:bCs/>
                <w:color w:val="734E8E"/>
                <w:sz w:val="30"/>
                <w:szCs w:val="30"/>
              </w:rPr>
              <w:t>C</w:t>
            </w:r>
            <w:r w:rsidR="00AF561D" w:rsidRPr="00C96AE0">
              <w:rPr>
                <w:rFonts w:ascii="Century Gothic" w:eastAsia="Times New Roman" w:hAnsi="Century Gothic" w:cs="Times New Roman"/>
                <w:b/>
                <w:bCs/>
                <w:color w:val="734E8E"/>
                <w:sz w:val="30"/>
                <w:szCs w:val="30"/>
              </w:rPr>
              <w:t>redit</w:t>
            </w:r>
            <w:r w:rsidR="00AF561D">
              <w:rPr>
                <w:rFonts w:ascii="Century Gothic" w:eastAsia="Times New Roman" w:hAnsi="Century Gothic" w:cs="Times New Roman"/>
                <w:b/>
                <w:bCs/>
                <w:color w:val="734E8E"/>
                <w:sz w:val="30"/>
                <w:szCs w:val="30"/>
              </w:rPr>
              <w:t xml:space="preserve"> Hour</w:t>
            </w:r>
            <w:r w:rsidR="00AF561D" w:rsidRPr="00C96AE0">
              <w:rPr>
                <w:rFonts w:ascii="Century Gothic" w:eastAsia="Times New Roman" w:hAnsi="Century Gothic" w:cs="Times New Roman"/>
                <w:b/>
                <w:bCs/>
                <w:color w:val="734E8E"/>
                <w:sz w:val="30"/>
                <w:szCs w:val="30"/>
              </w:rPr>
              <w:t>s</w:t>
            </w:r>
          </w:p>
          <w:p w14:paraId="39F82C70" w14:textId="77777777" w:rsidR="00C96AE0" w:rsidRPr="00C96AE0" w:rsidRDefault="00A85005" w:rsidP="00C96AE0">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5603AB18">
                <v:rect id="_x0000_i1026" style="width:0;height:0" o:hralign="center" o:hrstd="t" o:hr="t" fillcolor="#a0a0a0" stroked="f"/>
              </w:pict>
            </w:r>
          </w:p>
          <w:p w14:paraId="242A5C96" w14:textId="69F2D0F9" w:rsidR="00AF561D" w:rsidRDefault="00AF561D" w:rsidP="00C91EB2">
            <w:pPr>
              <w:pStyle w:val="ListParagraph"/>
              <w:numPr>
                <w:ilvl w:val="0"/>
                <w:numId w:val="5"/>
              </w:numPr>
              <w:spacing w:before="120"/>
              <w:ind w:left="720"/>
              <w:contextualSpacing w:val="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t xml:space="preserve">Core Communications General Education Courses </w:t>
            </w:r>
            <w:r w:rsidRPr="00142611">
              <w:rPr>
                <w:rFonts w:ascii="Century Gothic" w:eastAsia="Times New Roman" w:hAnsi="Century Gothic" w:cs="Times New Roman"/>
                <w:b/>
                <w:bCs/>
                <w:color w:val="666666"/>
                <w:sz w:val="21"/>
                <w:szCs w:val="21"/>
              </w:rPr>
              <w:t>6 credits</w:t>
            </w:r>
          </w:p>
          <w:p w14:paraId="00CDAA12" w14:textId="3F972319" w:rsidR="00C96AE0" w:rsidRPr="00142611" w:rsidRDefault="00A85005" w:rsidP="00F62D54">
            <w:pPr>
              <w:pStyle w:val="ListParagraph"/>
              <w:numPr>
                <w:ilvl w:val="1"/>
                <w:numId w:val="5"/>
              </w:numPr>
              <w:contextualSpacing w:val="0"/>
              <w:textAlignment w:val="baseline"/>
              <w:rPr>
                <w:rFonts w:ascii="Century Gothic" w:eastAsia="Times New Roman" w:hAnsi="Century Gothic" w:cs="Times New Roman"/>
                <w:color w:val="666666"/>
                <w:sz w:val="21"/>
                <w:szCs w:val="21"/>
              </w:rPr>
            </w:pPr>
            <w:hyperlink r:id="rId9" w:anchor="tt3634" w:tgtFrame="_blank" w:history="1">
              <w:r w:rsidR="00C96AE0" w:rsidRPr="00142611">
                <w:rPr>
                  <w:rFonts w:ascii="Century Gothic" w:eastAsia="Times New Roman" w:hAnsi="Century Gothic" w:cs="Times New Roman"/>
                  <w:color w:val="41A5A3"/>
                  <w:sz w:val="21"/>
                  <w:szCs w:val="21"/>
                  <w:bdr w:val="none" w:sz="0" w:space="0" w:color="auto" w:frame="1"/>
                </w:rPr>
                <w:t>ENC 1101 - Composition I</w:t>
              </w:r>
            </w:hyperlink>
            <w:r w:rsidR="00C96AE0" w:rsidRPr="00142611">
              <w:rPr>
                <w:rFonts w:ascii="Century Gothic" w:eastAsia="Times New Roman" w:hAnsi="Century Gothic" w:cs="Times New Roman"/>
                <w:color w:val="666666"/>
                <w:sz w:val="21"/>
                <w:szCs w:val="21"/>
              </w:rPr>
              <w:t>, must complete with a "C" or better</w:t>
            </w:r>
            <w:r w:rsidR="00C96AE0" w:rsidRPr="00142611">
              <w:rPr>
                <w:rFonts w:ascii="Century Gothic" w:eastAsia="Times New Roman" w:hAnsi="Century Gothic" w:cs="Times New Roman"/>
                <w:color w:val="666666"/>
                <w:sz w:val="17"/>
                <w:szCs w:val="17"/>
                <w:bdr w:val="none" w:sz="0" w:space="0" w:color="auto" w:frame="1"/>
                <w:vertAlign w:val="superscript"/>
              </w:rPr>
              <w:t>1</w:t>
            </w:r>
            <w:r w:rsidR="00C96AE0" w:rsidRPr="00142611">
              <w:rPr>
                <w:rFonts w:ascii="Century Gothic" w:eastAsia="Times New Roman" w:hAnsi="Century Gothic" w:cs="Times New Roman"/>
                <w:b/>
                <w:bCs/>
                <w:color w:val="666666"/>
                <w:sz w:val="21"/>
                <w:szCs w:val="21"/>
                <w:bdr w:val="none" w:sz="0" w:space="0" w:color="auto" w:frame="1"/>
              </w:rPr>
              <w:t> 3 credits</w:t>
            </w:r>
          </w:p>
          <w:p w14:paraId="6D021ECC" w14:textId="77777777" w:rsidR="00C96AE0" w:rsidRPr="00142611" w:rsidRDefault="00A85005" w:rsidP="00C91EB2">
            <w:pPr>
              <w:pStyle w:val="ListParagraph"/>
              <w:numPr>
                <w:ilvl w:val="1"/>
                <w:numId w:val="5"/>
              </w:numPr>
              <w:spacing w:after="240"/>
              <w:contextualSpacing w:val="0"/>
              <w:textAlignment w:val="baseline"/>
              <w:rPr>
                <w:rFonts w:ascii="Century Gothic" w:eastAsia="Times New Roman" w:hAnsi="Century Gothic" w:cs="Times New Roman"/>
                <w:color w:val="666666"/>
                <w:sz w:val="21"/>
                <w:szCs w:val="21"/>
              </w:rPr>
            </w:pPr>
            <w:hyperlink r:id="rId10" w:anchor="tt7568" w:tgtFrame="_blank" w:history="1">
              <w:r w:rsidR="00C96AE0" w:rsidRPr="00142611">
                <w:rPr>
                  <w:rFonts w:ascii="Century Gothic" w:eastAsia="Times New Roman" w:hAnsi="Century Gothic" w:cs="Times New Roman"/>
                  <w:color w:val="41A5A3"/>
                  <w:sz w:val="21"/>
                  <w:szCs w:val="21"/>
                  <w:bdr w:val="none" w:sz="0" w:space="0" w:color="auto" w:frame="1"/>
                </w:rPr>
                <w:t>ENC 1102 - Composition II</w:t>
              </w:r>
            </w:hyperlink>
            <w:r w:rsidR="00C96AE0" w:rsidRPr="00142611">
              <w:rPr>
                <w:rFonts w:ascii="Century Gothic" w:eastAsia="Times New Roman" w:hAnsi="Century Gothic" w:cs="Times New Roman"/>
                <w:color w:val="666666"/>
                <w:sz w:val="21"/>
                <w:szCs w:val="21"/>
              </w:rPr>
              <w:t>, must complete with a "C" or better </w:t>
            </w:r>
            <w:r w:rsidR="00C96AE0" w:rsidRPr="00142611">
              <w:rPr>
                <w:rFonts w:ascii="Century Gothic" w:eastAsia="Times New Roman" w:hAnsi="Century Gothic" w:cs="Times New Roman"/>
                <w:b/>
                <w:bCs/>
                <w:color w:val="666666"/>
                <w:sz w:val="21"/>
                <w:szCs w:val="21"/>
                <w:bdr w:val="none" w:sz="0" w:space="0" w:color="auto" w:frame="1"/>
              </w:rPr>
              <w:t>3 credits</w:t>
            </w:r>
          </w:p>
          <w:p w14:paraId="77381713" w14:textId="1F938E20" w:rsidR="00C96AE0" w:rsidRPr="00142611" w:rsidRDefault="00AF561D" w:rsidP="00C91EB2">
            <w:pPr>
              <w:pStyle w:val="ListParagraph"/>
              <w:numPr>
                <w:ilvl w:val="0"/>
                <w:numId w:val="5"/>
              </w:numPr>
              <w:ind w:left="720"/>
              <w:contextualSpacing w:val="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t xml:space="preserve">Core </w:t>
            </w:r>
            <w:r w:rsidR="00C96AE0" w:rsidRPr="00142611">
              <w:rPr>
                <w:rFonts w:ascii="Century Gothic" w:eastAsia="Times New Roman" w:hAnsi="Century Gothic" w:cs="Times New Roman"/>
                <w:color w:val="666666"/>
                <w:sz w:val="21"/>
                <w:szCs w:val="21"/>
              </w:rPr>
              <w:t>Humanities General Education Course</w:t>
            </w:r>
            <w:r>
              <w:rPr>
                <w:rFonts w:ascii="Century Gothic" w:eastAsia="Times New Roman" w:hAnsi="Century Gothic" w:cs="Times New Roman"/>
                <w:b/>
                <w:bCs/>
                <w:color w:val="666666"/>
                <w:sz w:val="21"/>
                <w:szCs w:val="21"/>
                <w:bdr w:val="none" w:sz="0" w:space="0" w:color="auto" w:frame="1"/>
              </w:rPr>
              <w:t xml:space="preserve"> 3 </w:t>
            </w:r>
            <w:r w:rsidR="00C96AE0" w:rsidRPr="00142611">
              <w:rPr>
                <w:rFonts w:ascii="Century Gothic" w:eastAsia="Times New Roman" w:hAnsi="Century Gothic" w:cs="Times New Roman"/>
                <w:b/>
                <w:bCs/>
                <w:color w:val="666666"/>
                <w:sz w:val="21"/>
                <w:szCs w:val="21"/>
                <w:bdr w:val="none" w:sz="0" w:space="0" w:color="auto" w:frame="1"/>
              </w:rPr>
              <w:t>credits</w:t>
            </w:r>
          </w:p>
          <w:p w14:paraId="7F11368F" w14:textId="3E9C47A4" w:rsidR="00AF561D" w:rsidRPr="00142611" w:rsidRDefault="00AF561D" w:rsidP="00C91EB2">
            <w:pPr>
              <w:pStyle w:val="ListParagraph"/>
              <w:numPr>
                <w:ilvl w:val="0"/>
                <w:numId w:val="5"/>
              </w:numPr>
              <w:spacing w:after="240"/>
              <w:ind w:left="720"/>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bdr w:val="none" w:sz="0" w:space="0" w:color="auto" w:frame="1"/>
              </w:rPr>
              <w:t>Any Humanities General Education Course</w:t>
            </w:r>
            <w:r>
              <w:rPr>
                <w:rFonts w:ascii="Century Gothic" w:eastAsia="Times New Roman" w:hAnsi="Century Gothic" w:cs="Times New Roman"/>
                <w:b/>
                <w:bCs/>
                <w:color w:val="666666"/>
                <w:sz w:val="21"/>
                <w:szCs w:val="21"/>
                <w:bdr w:val="none" w:sz="0" w:space="0" w:color="auto" w:frame="1"/>
              </w:rPr>
              <w:t xml:space="preserve"> 3 credits</w:t>
            </w:r>
          </w:p>
          <w:p w14:paraId="3DDA26B1" w14:textId="4D81AA1F" w:rsidR="00C96AE0" w:rsidRPr="00142611" w:rsidRDefault="00AF561D" w:rsidP="00C91EB2">
            <w:pPr>
              <w:pStyle w:val="ListParagraph"/>
              <w:numPr>
                <w:ilvl w:val="0"/>
                <w:numId w:val="5"/>
              </w:numPr>
              <w:ind w:left="720"/>
              <w:contextualSpacing w:val="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t xml:space="preserve">Core </w:t>
            </w:r>
            <w:r w:rsidR="00C96AE0" w:rsidRPr="00142611">
              <w:rPr>
                <w:rFonts w:ascii="Century Gothic" w:eastAsia="Times New Roman" w:hAnsi="Century Gothic" w:cs="Times New Roman"/>
                <w:color w:val="666666"/>
                <w:sz w:val="21"/>
                <w:szCs w:val="21"/>
              </w:rPr>
              <w:t>Social Sciences General Education Course</w:t>
            </w:r>
            <w:r w:rsidR="00165A77">
              <w:rPr>
                <w:rFonts w:ascii="Century Gothic" w:eastAsia="Times New Roman" w:hAnsi="Century Gothic" w:cs="Times New Roman"/>
                <w:color w:val="666666"/>
                <w:sz w:val="21"/>
                <w:szCs w:val="21"/>
                <w:vertAlign w:val="superscript"/>
              </w:rPr>
              <w:t xml:space="preserve"> </w:t>
            </w:r>
            <w:r>
              <w:rPr>
                <w:rFonts w:ascii="Century Gothic" w:eastAsia="Times New Roman" w:hAnsi="Century Gothic" w:cs="Times New Roman"/>
                <w:b/>
                <w:bCs/>
                <w:color w:val="666666"/>
                <w:sz w:val="21"/>
                <w:szCs w:val="21"/>
                <w:bdr w:val="none" w:sz="0" w:space="0" w:color="auto" w:frame="1"/>
              </w:rPr>
              <w:t>3</w:t>
            </w:r>
            <w:r w:rsidRPr="00142611">
              <w:rPr>
                <w:rFonts w:ascii="Century Gothic" w:eastAsia="Times New Roman" w:hAnsi="Century Gothic" w:cs="Times New Roman"/>
                <w:b/>
                <w:bCs/>
                <w:color w:val="666666"/>
                <w:sz w:val="21"/>
                <w:szCs w:val="21"/>
                <w:bdr w:val="none" w:sz="0" w:space="0" w:color="auto" w:frame="1"/>
              </w:rPr>
              <w:t> </w:t>
            </w:r>
            <w:r w:rsidR="00C96AE0" w:rsidRPr="00142611">
              <w:rPr>
                <w:rFonts w:ascii="Century Gothic" w:eastAsia="Times New Roman" w:hAnsi="Century Gothic" w:cs="Times New Roman"/>
                <w:b/>
                <w:bCs/>
                <w:color w:val="666666"/>
                <w:sz w:val="21"/>
                <w:szCs w:val="21"/>
                <w:bdr w:val="none" w:sz="0" w:space="0" w:color="auto" w:frame="1"/>
              </w:rPr>
              <w:t>credits</w:t>
            </w:r>
          </w:p>
          <w:p w14:paraId="30D127D0" w14:textId="7244419E" w:rsidR="00AF561D" w:rsidRPr="00142611" w:rsidRDefault="00AF561D" w:rsidP="00C91EB2">
            <w:pPr>
              <w:pStyle w:val="ListParagraph"/>
              <w:numPr>
                <w:ilvl w:val="0"/>
                <w:numId w:val="5"/>
              </w:numPr>
              <w:spacing w:after="240"/>
              <w:ind w:left="720"/>
              <w:contextualSpacing w:val="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t>Any Social Sciences General Education Course</w:t>
            </w:r>
            <w:r w:rsidR="00DC6417">
              <w:rPr>
                <w:rFonts w:ascii="Century Gothic" w:eastAsia="Times New Roman" w:hAnsi="Century Gothic" w:cs="Times New Roman"/>
                <w:color w:val="666666"/>
                <w:sz w:val="21"/>
                <w:szCs w:val="21"/>
              </w:rPr>
              <w:t xml:space="preserve"> </w:t>
            </w:r>
            <w:r w:rsidR="00DC6417" w:rsidRPr="00142611">
              <w:rPr>
                <w:rFonts w:ascii="Century Gothic" w:eastAsia="Times New Roman" w:hAnsi="Century Gothic" w:cs="Times New Roman"/>
                <w:b/>
                <w:bCs/>
                <w:color w:val="666666"/>
                <w:sz w:val="21"/>
                <w:szCs w:val="21"/>
              </w:rPr>
              <w:t>3 credits</w:t>
            </w:r>
          </w:p>
          <w:p w14:paraId="750B38A0" w14:textId="2D7C9F3A" w:rsidR="00C96AE0" w:rsidRPr="00142611" w:rsidRDefault="00C96AE0" w:rsidP="00C91EB2">
            <w:pPr>
              <w:pStyle w:val="ListParagraph"/>
              <w:numPr>
                <w:ilvl w:val="0"/>
                <w:numId w:val="5"/>
              </w:numPr>
              <w:ind w:left="720"/>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t xml:space="preserve">Core Mathematics General Education Course, must </w:t>
            </w:r>
            <w:r w:rsidR="00714CF1">
              <w:rPr>
                <w:rFonts w:ascii="Century Gothic" w:eastAsia="Times New Roman" w:hAnsi="Century Gothic" w:cs="Times New Roman"/>
                <w:color w:val="666666"/>
                <w:sz w:val="21"/>
                <w:szCs w:val="21"/>
              </w:rPr>
              <w:t>complete</w:t>
            </w:r>
            <w:r w:rsidR="00714CF1" w:rsidRPr="00142611">
              <w:rPr>
                <w:rFonts w:ascii="Century Gothic" w:eastAsia="Times New Roman" w:hAnsi="Century Gothic" w:cs="Times New Roman"/>
                <w:color w:val="666666"/>
                <w:sz w:val="21"/>
                <w:szCs w:val="21"/>
              </w:rPr>
              <w:t xml:space="preserve"> </w:t>
            </w:r>
            <w:r w:rsidRPr="00142611">
              <w:rPr>
                <w:rFonts w:ascii="Century Gothic" w:eastAsia="Times New Roman" w:hAnsi="Century Gothic" w:cs="Times New Roman"/>
                <w:color w:val="666666"/>
                <w:sz w:val="21"/>
                <w:szCs w:val="21"/>
              </w:rPr>
              <w:t xml:space="preserve">with a "C" or </w:t>
            </w:r>
            <w:r w:rsidR="00D72646" w:rsidRPr="00142611">
              <w:rPr>
                <w:rFonts w:ascii="Century Gothic" w:eastAsia="Times New Roman" w:hAnsi="Century Gothic" w:cs="Times New Roman"/>
                <w:color w:val="666666"/>
                <w:sz w:val="21"/>
                <w:szCs w:val="21"/>
              </w:rPr>
              <w:t>better</w:t>
            </w:r>
            <w:r w:rsidR="00DC6417" w:rsidRPr="00142611">
              <w:rPr>
                <w:rFonts w:ascii="Century Gothic" w:eastAsia="Times New Roman" w:hAnsi="Century Gothic" w:cs="Times New Roman"/>
                <w:color w:val="666666"/>
                <w:sz w:val="17"/>
                <w:szCs w:val="17"/>
                <w:bdr w:val="none" w:sz="0" w:space="0" w:color="auto" w:frame="1"/>
                <w:vertAlign w:val="superscript"/>
              </w:rPr>
              <w:t>2</w:t>
            </w:r>
            <w:r w:rsidR="00D72646" w:rsidRPr="00142611">
              <w:rPr>
                <w:rFonts w:ascii="Century Gothic" w:eastAsia="Times New Roman" w:hAnsi="Century Gothic" w:cs="Times New Roman"/>
                <w:b/>
                <w:bCs/>
                <w:color w:val="666666"/>
                <w:sz w:val="21"/>
                <w:szCs w:val="21"/>
                <w:bdr w:val="none" w:sz="0" w:space="0" w:color="auto" w:frame="1"/>
              </w:rPr>
              <w:t> </w:t>
            </w:r>
            <w:r w:rsidRPr="00142611">
              <w:rPr>
                <w:rFonts w:ascii="Century Gothic" w:eastAsia="Times New Roman" w:hAnsi="Century Gothic" w:cs="Times New Roman"/>
                <w:b/>
                <w:bCs/>
                <w:color w:val="666666"/>
                <w:sz w:val="21"/>
                <w:szCs w:val="21"/>
                <w:bdr w:val="none" w:sz="0" w:space="0" w:color="auto" w:frame="1"/>
              </w:rPr>
              <w:t>3 credits</w:t>
            </w:r>
          </w:p>
          <w:p w14:paraId="4A885AA5" w14:textId="7D5619D7" w:rsidR="00C96AE0" w:rsidRPr="00142611" w:rsidRDefault="00C96AE0" w:rsidP="00C91EB2">
            <w:pPr>
              <w:pStyle w:val="ListParagraph"/>
              <w:numPr>
                <w:ilvl w:val="0"/>
                <w:numId w:val="5"/>
              </w:numPr>
              <w:spacing w:after="240"/>
              <w:ind w:left="720"/>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t xml:space="preserve">Any Mathematics General Education Course, must </w:t>
            </w:r>
            <w:r w:rsidR="00714CF1">
              <w:rPr>
                <w:rFonts w:ascii="Century Gothic" w:eastAsia="Times New Roman" w:hAnsi="Century Gothic" w:cs="Times New Roman"/>
                <w:color w:val="666666"/>
                <w:sz w:val="21"/>
                <w:szCs w:val="21"/>
              </w:rPr>
              <w:t>complete</w:t>
            </w:r>
            <w:r w:rsidR="00714CF1" w:rsidRPr="00142611">
              <w:rPr>
                <w:rFonts w:ascii="Century Gothic" w:eastAsia="Times New Roman" w:hAnsi="Century Gothic" w:cs="Times New Roman"/>
                <w:color w:val="666666"/>
                <w:sz w:val="21"/>
                <w:szCs w:val="21"/>
              </w:rPr>
              <w:t xml:space="preserve"> </w:t>
            </w:r>
            <w:r w:rsidRPr="00142611">
              <w:rPr>
                <w:rFonts w:ascii="Century Gothic" w:eastAsia="Times New Roman" w:hAnsi="Century Gothic" w:cs="Times New Roman"/>
                <w:color w:val="666666"/>
                <w:sz w:val="21"/>
                <w:szCs w:val="21"/>
              </w:rPr>
              <w:t>with a "C" or better </w:t>
            </w:r>
            <w:r w:rsidRPr="00142611">
              <w:rPr>
                <w:rFonts w:ascii="Century Gothic" w:eastAsia="Times New Roman" w:hAnsi="Century Gothic" w:cs="Times New Roman"/>
                <w:b/>
                <w:bCs/>
                <w:color w:val="666666"/>
                <w:sz w:val="21"/>
                <w:szCs w:val="21"/>
                <w:bdr w:val="none" w:sz="0" w:space="0" w:color="auto" w:frame="1"/>
              </w:rPr>
              <w:t>3 credits</w:t>
            </w:r>
          </w:p>
          <w:p w14:paraId="6C0A43FB" w14:textId="5C99F6D2" w:rsidR="00C96AE0" w:rsidRPr="00142611" w:rsidRDefault="00C96AE0" w:rsidP="00C91EB2">
            <w:pPr>
              <w:pStyle w:val="ListParagraph"/>
              <w:numPr>
                <w:ilvl w:val="0"/>
                <w:numId w:val="5"/>
              </w:numPr>
              <w:ind w:left="720"/>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t xml:space="preserve">Core Natural Sciences General Education </w:t>
            </w:r>
            <w:r w:rsidR="00D72646" w:rsidRPr="00142611">
              <w:rPr>
                <w:rFonts w:ascii="Century Gothic" w:eastAsia="Times New Roman" w:hAnsi="Century Gothic" w:cs="Times New Roman"/>
                <w:color w:val="666666"/>
                <w:sz w:val="21"/>
                <w:szCs w:val="21"/>
              </w:rPr>
              <w:t>Course</w:t>
            </w:r>
            <w:r w:rsidR="00DC6417" w:rsidRPr="00142611">
              <w:rPr>
                <w:rFonts w:ascii="Century Gothic" w:eastAsia="Times New Roman" w:hAnsi="Century Gothic" w:cs="Times New Roman"/>
                <w:color w:val="666666"/>
                <w:sz w:val="17"/>
                <w:szCs w:val="17"/>
                <w:bdr w:val="none" w:sz="0" w:space="0" w:color="auto" w:frame="1"/>
                <w:vertAlign w:val="superscript"/>
              </w:rPr>
              <w:t>3</w:t>
            </w:r>
            <w:r w:rsidR="00D72646" w:rsidRPr="00142611">
              <w:rPr>
                <w:rFonts w:ascii="Century Gothic" w:eastAsia="Times New Roman" w:hAnsi="Century Gothic" w:cs="Times New Roman"/>
                <w:b/>
                <w:bCs/>
                <w:color w:val="666666"/>
                <w:sz w:val="17"/>
                <w:szCs w:val="17"/>
                <w:bdr w:val="none" w:sz="0" w:space="0" w:color="auto" w:frame="1"/>
              </w:rPr>
              <w:t> </w:t>
            </w:r>
            <w:r w:rsidRPr="00142611">
              <w:rPr>
                <w:rFonts w:ascii="Century Gothic" w:eastAsia="Times New Roman" w:hAnsi="Century Gothic" w:cs="Times New Roman"/>
                <w:b/>
                <w:bCs/>
                <w:color w:val="666666"/>
                <w:sz w:val="21"/>
                <w:szCs w:val="21"/>
                <w:bdr w:val="none" w:sz="0" w:space="0" w:color="auto" w:frame="1"/>
              </w:rPr>
              <w:t>3 credits</w:t>
            </w:r>
          </w:p>
          <w:p w14:paraId="60DEDE6E" w14:textId="77777777" w:rsidR="00C96AE0" w:rsidRPr="00142611" w:rsidRDefault="00C96AE0" w:rsidP="00C91EB2">
            <w:pPr>
              <w:pStyle w:val="ListParagraph"/>
              <w:numPr>
                <w:ilvl w:val="0"/>
                <w:numId w:val="5"/>
              </w:numPr>
              <w:ind w:left="720"/>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lastRenderedPageBreak/>
              <w:t>Any Natural Sciences General Education Course </w:t>
            </w:r>
            <w:r w:rsidRPr="00142611">
              <w:rPr>
                <w:rFonts w:ascii="Century Gothic" w:eastAsia="Times New Roman" w:hAnsi="Century Gothic" w:cs="Times New Roman"/>
                <w:b/>
                <w:bCs/>
                <w:color w:val="666666"/>
                <w:sz w:val="21"/>
                <w:szCs w:val="21"/>
                <w:bdr w:val="none" w:sz="0" w:space="0" w:color="auto" w:frame="1"/>
              </w:rPr>
              <w:t>3 credits</w:t>
            </w:r>
          </w:p>
          <w:p w14:paraId="610811AD" w14:textId="5403D326" w:rsidR="00C96AE0" w:rsidRPr="00142611" w:rsidRDefault="00D72646" w:rsidP="00C91EB2">
            <w:pPr>
              <w:pStyle w:val="ListParagraph"/>
              <w:numPr>
                <w:ilvl w:val="1"/>
                <w:numId w:val="5"/>
              </w:numPr>
              <w:spacing w:after="240"/>
              <w:contextualSpacing w:val="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bdr w:val="none" w:sz="0" w:space="0" w:color="auto" w:frame="1"/>
              </w:rPr>
              <w:t>A minimum of one of the two Natural Science</w:t>
            </w:r>
            <w:r w:rsidR="00714CF1">
              <w:rPr>
                <w:rFonts w:ascii="Century Gothic" w:eastAsia="Times New Roman" w:hAnsi="Century Gothic" w:cs="Times New Roman"/>
                <w:color w:val="666666"/>
                <w:sz w:val="21"/>
                <w:szCs w:val="21"/>
                <w:bdr w:val="none" w:sz="0" w:space="0" w:color="auto" w:frame="1"/>
              </w:rPr>
              <w:t>s</w:t>
            </w:r>
            <w:r w:rsidRPr="00142611">
              <w:rPr>
                <w:rFonts w:ascii="Century Gothic" w:eastAsia="Times New Roman" w:hAnsi="Century Gothic" w:cs="Times New Roman"/>
                <w:color w:val="666666"/>
                <w:sz w:val="21"/>
                <w:szCs w:val="21"/>
                <w:bdr w:val="none" w:sz="0" w:space="0" w:color="auto" w:frame="1"/>
              </w:rPr>
              <w:t xml:space="preserve"> General Education courses</w:t>
            </w:r>
            <w:r>
              <w:rPr>
                <w:rFonts w:ascii="Century Gothic" w:eastAsia="Times New Roman" w:hAnsi="Century Gothic" w:cs="Times New Roman"/>
                <w:color w:val="666666"/>
                <w:sz w:val="21"/>
                <w:szCs w:val="21"/>
                <w:bdr w:val="none" w:sz="0" w:space="0" w:color="auto" w:frame="1"/>
              </w:rPr>
              <w:t xml:space="preserve"> must have an associated laboratory. The lab</w:t>
            </w:r>
            <w:r w:rsidRPr="00142611">
              <w:rPr>
                <w:rFonts w:ascii="Century Gothic" w:eastAsia="Times New Roman" w:hAnsi="Century Gothic" w:cs="Times New Roman"/>
                <w:color w:val="666666"/>
                <w:sz w:val="21"/>
                <w:szCs w:val="21"/>
                <w:bdr w:val="none" w:sz="0" w:space="0" w:color="auto" w:frame="1"/>
              </w:rPr>
              <w:t xml:space="preserve"> may be a standalone course (courses with an "L" suffix</w:t>
            </w:r>
            <w:r w:rsidR="00714CF1">
              <w:rPr>
                <w:rFonts w:ascii="Century Gothic" w:eastAsia="Times New Roman" w:hAnsi="Century Gothic" w:cs="Times New Roman"/>
                <w:color w:val="666666"/>
                <w:sz w:val="21"/>
                <w:szCs w:val="21"/>
                <w:bdr w:val="none" w:sz="0" w:space="0" w:color="auto" w:frame="1"/>
              </w:rPr>
              <w:t xml:space="preserve">, </w:t>
            </w:r>
            <w:r w:rsidRPr="00142611">
              <w:rPr>
                <w:rFonts w:ascii="Century Gothic" w:eastAsia="Times New Roman" w:hAnsi="Century Gothic" w:cs="Times New Roman"/>
                <w:color w:val="666666"/>
                <w:sz w:val="21"/>
                <w:szCs w:val="21"/>
                <w:bdr w:val="none" w:sz="0" w:space="0" w:color="auto" w:frame="1"/>
              </w:rPr>
              <w:t>e.g.</w:t>
            </w:r>
            <w:r>
              <w:rPr>
                <w:rFonts w:ascii="Century Gothic" w:eastAsia="Times New Roman" w:hAnsi="Century Gothic" w:cs="Times New Roman"/>
                <w:color w:val="666666"/>
                <w:sz w:val="21"/>
                <w:szCs w:val="21"/>
                <w:bdr w:val="none" w:sz="0" w:space="0" w:color="auto" w:frame="1"/>
              </w:rPr>
              <w:t>,</w:t>
            </w:r>
            <w:r w:rsidRPr="00142611">
              <w:rPr>
                <w:rFonts w:ascii="Century Gothic" w:eastAsia="Times New Roman" w:hAnsi="Century Gothic" w:cs="Times New Roman"/>
                <w:color w:val="666666"/>
                <w:sz w:val="21"/>
                <w:szCs w:val="21"/>
                <w:bdr w:val="none" w:sz="0" w:space="0" w:color="auto" w:frame="1"/>
              </w:rPr>
              <w:t xml:space="preserve"> CHM </w:t>
            </w:r>
            <w:r w:rsidR="00714CF1">
              <w:rPr>
                <w:rFonts w:ascii="Century Gothic" w:eastAsia="Times New Roman" w:hAnsi="Century Gothic" w:cs="Times New Roman"/>
                <w:color w:val="666666"/>
                <w:sz w:val="21"/>
                <w:szCs w:val="21"/>
                <w:bdr w:val="none" w:sz="0" w:space="0" w:color="auto" w:frame="1"/>
              </w:rPr>
              <w:t>2</w:t>
            </w:r>
            <w:r w:rsidR="00714CF1" w:rsidRPr="00142611">
              <w:rPr>
                <w:rFonts w:ascii="Century Gothic" w:eastAsia="Times New Roman" w:hAnsi="Century Gothic" w:cs="Times New Roman"/>
                <w:color w:val="666666"/>
                <w:sz w:val="21"/>
                <w:szCs w:val="21"/>
                <w:bdr w:val="none" w:sz="0" w:space="0" w:color="auto" w:frame="1"/>
              </w:rPr>
              <w:t>045</w:t>
            </w:r>
            <w:r w:rsidR="00714CF1" w:rsidRPr="00142611">
              <w:rPr>
                <w:rFonts w:ascii="Century Gothic" w:eastAsia="Times New Roman" w:hAnsi="Century Gothic" w:cs="Times New Roman"/>
                <w:b/>
                <w:bCs/>
                <w:color w:val="666666"/>
                <w:sz w:val="21"/>
                <w:szCs w:val="21"/>
                <w:u w:val="single"/>
                <w:bdr w:val="none" w:sz="0" w:space="0" w:color="auto" w:frame="1"/>
              </w:rPr>
              <w:t>L</w:t>
            </w:r>
            <w:r w:rsidRPr="00142611">
              <w:rPr>
                <w:rFonts w:ascii="Century Gothic" w:eastAsia="Times New Roman" w:hAnsi="Century Gothic" w:cs="Times New Roman"/>
                <w:color w:val="666666"/>
                <w:sz w:val="21"/>
                <w:szCs w:val="21"/>
                <w:bdr w:val="none" w:sz="0" w:space="0" w:color="auto" w:frame="1"/>
              </w:rPr>
              <w:t>) or combined within a course (courses with a "C" suffix, e.g.</w:t>
            </w:r>
            <w:r>
              <w:rPr>
                <w:rFonts w:ascii="Century Gothic" w:eastAsia="Times New Roman" w:hAnsi="Century Gothic" w:cs="Times New Roman"/>
                <w:color w:val="666666"/>
                <w:sz w:val="21"/>
                <w:szCs w:val="21"/>
                <w:bdr w:val="none" w:sz="0" w:space="0" w:color="auto" w:frame="1"/>
              </w:rPr>
              <w:t>,</w:t>
            </w:r>
            <w:r w:rsidRPr="00142611">
              <w:rPr>
                <w:rFonts w:ascii="Century Gothic" w:eastAsia="Times New Roman" w:hAnsi="Century Gothic" w:cs="Times New Roman"/>
                <w:color w:val="666666"/>
                <w:sz w:val="21"/>
                <w:szCs w:val="21"/>
                <w:bdr w:val="none" w:sz="0" w:space="0" w:color="auto" w:frame="1"/>
              </w:rPr>
              <w:t xml:space="preserve"> BSC 1051</w:t>
            </w:r>
            <w:r w:rsidRPr="00142611">
              <w:rPr>
                <w:rFonts w:ascii="Century Gothic" w:eastAsia="Times New Roman" w:hAnsi="Century Gothic" w:cs="Times New Roman"/>
                <w:b/>
                <w:bCs/>
                <w:color w:val="666666"/>
                <w:sz w:val="21"/>
                <w:szCs w:val="21"/>
                <w:u w:val="single"/>
                <w:bdr w:val="none" w:sz="0" w:space="0" w:color="auto" w:frame="1"/>
              </w:rPr>
              <w:t>C</w:t>
            </w:r>
            <w:r w:rsidRPr="00142611">
              <w:rPr>
                <w:rFonts w:ascii="Century Gothic" w:eastAsia="Times New Roman" w:hAnsi="Century Gothic" w:cs="Times New Roman"/>
                <w:color w:val="666666"/>
                <w:sz w:val="21"/>
                <w:szCs w:val="21"/>
                <w:bdr w:val="none" w:sz="0" w:space="0" w:color="auto" w:frame="1"/>
              </w:rPr>
              <w:t>).</w:t>
            </w:r>
          </w:p>
          <w:p w14:paraId="7CABC154" w14:textId="4709D245" w:rsidR="00DC6417" w:rsidRPr="00142611" w:rsidRDefault="00DC6417" w:rsidP="00C91EB2">
            <w:pPr>
              <w:pStyle w:val="ListParagraph"/>
              <w:numPr>
                <w:ilvl w:val="0"/>
                <w:numId w:val="5"/>
              </w:numPr>
              <w:ind w:left="720"/>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t xml:space="preserve">Additional courses from any General Education category </w:t>
            </w:r>
            <w:r w:rsidRPr="00142611">
              <w:rPr>
                <w:rFonts w:ascii="Century Gothic" w:eastAsia="Times New Roman" w:hAnsi="Century Gothic" w:cs="Times New Roman"/>
                <w:b/>
                <w:bCs/>
                <w:color w:val="666666"/>
                <w:sz w:val="21"/>
                <w:szCs w:val="21"/>
              </w:rPr>
              <w:t>6 credits</w:t>
            </w:r>
          </w:p>
          <w:p w14:paraId="5ED46E8A" w14:textId="77777777" w:rsidR="00812350" w:rsidRPr="00142611" w:rsidRDefault="00812350" w:rsidP="00C91EB2">
            <w:pPr>
              <w:pStyle w:val="ListParagraph"/>
              <w:spacing w:after="0"/>
              <w:ind w:left="1080"/>
              <w:contextualSpacing w:val="0"/>
              <w:textAlignment w:val="baseline"/>
              <w:rPr>
                <w:rFonts w:ascii="Century Gothic" w:eastAsia="Times New Roman" w:hAnsi="Century Gothic" w:cs="Times New Roman"/>
                <w:color w:val="666666"/>
                <w:sz w:val="21"/>
                <w:szCs w:val="21"/>
              </w:rPr>
            </w:pPr>
          </w:p>
          <w:p w14:paraId="0D9B1362" w14:textId="77777777" w:rsidR="00C96AE0" w:rsidRPr="00C96AE0" w:rsidRDefault="00C96AE0" w:rsidP="00C91EB2">
            <w:pPr>
              <w:ind w:left="36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According to </w:t>
            </w:r>
            <w:hyperlink r:id="rId11" w:history="1">
              <w:r w:rsidRPr="00C96AE0">
                <w:rPr>
                  <w:rFonts w:ascii="Century Gothic" w:eastAsia="Times New Roman" w:hAnsi="Century Gothic" w:cs="Times New Roman"/>
                  <w:color w:val="41A5A3"/>
                  <w:sz w:val="21"/>
                  <w:szCs w:val="21"/>
                  <w:bdr w:val="none" w:sz="0" w:space="0" w:color="auto" w:frame="1"/>
                </w:rPr>
                <w:t>Florida Administrative Code Rule </w:t>
              </w:r>
            </w:hyperlink>
            <w:hyperlink r:id="rId12" w:history="1">
              <w:r w:rsidRPr="00C96AE0">
                <w:rPr>
                  <w:rFonts w:ascii="Century Gothic" w:eastAsia="Times New Roman" w:hAnsi="Century Gothic" w:cs="Times New Roman"/>
                  <w:color w:val="41A5A3"/>
                  <w:sz w:val="21"/>
                  <w:szCs w:val="21"/>
                  <w:bdr w:val="none" w:sz="0" w:space="0" w:color="auto" w:frame="1"/>
                </w:rPr>
                <w:t>6A-14.0303</w:t>
              </w:r>
            </w:hyperlink>
            <w:r w:rsidRPr="00C96AE0">
              <w:rPr>
                <w:rFonts w:ascii="Century Gothic" w:eastAsia="Times New Roman" w:hAnsi="Century Gothic" w:cs="Times New Roman"/>
                <w:color w:val="666666"/>
                <w:sz w:val="21"/>
                <w:szCs w:val="21"/>
              </w:rPr>
              <w:t> and </w:t>
            </w:r>
            <w:hyperlink r:id="rId13" w:tgtFrame="_blank" w:history="1">
              <w:r w:rsidRPr="00C96AE0">
                <w:rPr>
                  <w:rFonts w:ascii="Century Gothic" w:eastAsia="Times New Roman" w:hAnsi="Century Gothic" w:cs="Times New Roman"/>
                  <w:color w:val="41A5A3"/>
                  <w:sz w:val="21"/>
                  <w:szCs w:val="21"/>
                  <w:bdr w:val="none" w:sz="0" w:space="0" w:color="auto" w:frame="1"/>
                </w:rPr>
                <w:t>6A-10.030</w:t>
              </w:r>
            </w:hyperlink>
            <w:r w:rsidRPr="00C96AE0">
              <w:rPr>
                <w:rFonts w:ascii="Century Gothic" w:eastAsia="Times New Roman" w:hAnsi="Century Gothic" w:cs="Times New Roman"/>
                <w:color w:val="666666"/>
                <w:sz w:val="21"/>
                <w:szCs w:val="21"/>
              </w:rPr>
              <w:t>:</w:t>
            </w:r>
          </w:p>
          <w:p w14:paraId="610FC9CF" w14:textId="6C33CF50" w:rsidR="00C96AE0" w:rsidRPr="00142611" w:rsidRDefault="00C96AE0" w:rsidP="00C91EB2">
            <w:pPr>
              <w:ind w:left="720"/>
              <w:textAlignment w:val="baseline"/>
              <w:rPr>
                <w:rFonts w:ascii="Century Gothic" w:eastAsia="Times New Roman" w:hAnsi="Century Gothic" w:cs="Times New Roman"/>
                <w:i/>
                <w:iCs/>
                <w:color w:val="666666"/>
                <w:sz w:val="21"/>
                <w:szCs w:val="21"/>
              </w:rPr>
            </w:pPr>
            <w:r w:rsidRPr="00142611">
              <w:rPr>
                <w:rFonts w:ascii="Century Gothic" w:eastAsia="Times New Roman" w:hAnsi="Century Gothic" w:cs="Times New Roman"/>
                <w:b/>
                <w:bCs/>
                <w:color w:val="666666"/>
                <w:sz w:val="17"/>
                <w:szCs w:val="17"/>
                <w:bdr w:val="none" w:sz="0" w:space="0" w:color="auto" w:frame="1"/>
              </w:rPr>
              <w:t>1</w:t>
            </w:r>
            <w:r w:rsidRPr="00C96AE0">
              <w:rPr>
                <w:rFonts w:ascii="Century Gothic" w:eastAsia="Times New Roman" w:hAnsi="Century Gothic" w:cs="Times New Roman"/>
                <w:b/>
                <w:bCs/>
                <w:i/>
                <w:iCs/>
                <w:color w:val="666666"/>
                <w:sz w:val="21"/>
                <w:szCs w:val="21"/>
                <w:bdr w:val="none" w:sz="0" w:space="0" w:color="auto" w:frame="1"/>
              </w:rPr>
              <w:t> </w:t>
            </w:r>
            <w:r w:rsidRPr="00165A77">
              <w:rPr>
                <w:rFonts w:ascii="Century Gothic" w:eastAsia="Times New Roman" w:hAnsi="Century Gothic" w:cs="Times New Roman"/>
                <w:i/>
                <w:iCs/>
                <w:color w:val="666666"/>
                <w:sz w:val="21"/>
                <w:szCs w:val="21"/>
                <w:bdr w:val="none" w:sz="0" w:space="0" w:color="auto" w:frame="1"/>
              </w:rPr>
              <w:t>"</w:t>
            </w:r>
            <w:r w:rsidRPr="00142611">
              <w:rPr>
                <w:rFonts w:ascii="Century Gothic" w:eastAsia="Times New Roman" w:hAnsi="Century Gothic" w:cs="Times New Roman"/>
                <w:i/>
                <w:iCs/>
                <w:color w:val="666666"/>
                <w:sz w:val="21"/>
                <w:szCs w:val="21"/>
              </w:rPr>
              <w:t>Any student who successfully completes a course with an ENC prefix for which ENC X101 is an immediate prerequisite shall be considered to have completed the Communication Core.</w:t>
            </w:r>
            <w:r w:rsidRPr="00165A77">
              <w:rPr>
                <w:rFonts w:ascii="Century Gothic" w:eastAsia="Times New Roman" w:hAnsi="Century Gothic" w:cs="Times New Roman"/>
                <w:i/>
                <w:iCs/>
                <w:color w:val="666666"/>
                <w:sz w:val="21"/>
                <w:szCs w:val="21"/>
                <w:bdr w:val="none" w:sz="0" w:space="0" w:color="auto" w:frame="1"/>
              </w:rPr>
              <w:t>"</w:t>
            </w:r>
          </w:p>
          <w:p w14:paraId="7046286C" w14:textId="6E596B83" w:rsidR="00165A77" w:rsidRDefault="00C96AE0" w:rsidP="00C91EB2">
            <w:pPr>
              <w:ind w:left="720"/>
              <w:textAlignment w:val="baseline"/>
              <w:rPr>
                <w:rFonts w:ascii="Century Gothic" w:eastAsia="Times New Roman" w:hAnsi="Century Gothic" w:cs="Times New Roman"/>
                <w:b/>
                <w:bCs/>
                <w:i/>
                <w:iCs/>
                <w:color w:val="666666"/>
                <w:sz w:val="17"/>
                <w:szCs w:val="17"/>
                <w:bdr w:val="none" w:sz="0" w:space="0" w:color="auto" w:frame="1"/>
              </w:rPr>
            </w:pPr>
            <w:r w:rsidRPr="00DC6417">
              <w:rPr>
                <w:rFonts w:ascii="Century Gothic" w:eastAsia="Times New Roman" w:hAnsi="Century Gothic" w:cs="Times New Roman"/>
                <w:b/>
                <w:bCs/>
                <w:color w:val="666666"/>
                <w:sz w:val="17"/>
                <w:szCs w:val="17"/>
                <w:bdr w:val="none" w:sz="0" w:space="0" w:color="auto" w:frame="1"/>
              </w:rPr>
              <w:t>2</w:t>
            </w:r>
            <w:r w:rsidRPr="00C96AE0">
              <w:rPr>
                <w:rFonts w:ascii="Century Gothic" w:eastAsia="Times New Roman" w:hAnsi="Century Gothic" w:cs="Times New Roman"/>
                <w:i/>
                <w:iCs/>
                <w:color w:val="666666"/>
                <w:sz w:val="21"/>
                <w:szCs w:val="21"/>
                <w:bdr w:val="none" w:sz="0" w:space="0" w:color="auto" w:frame="1"/>
              </w:rPr>
              <w:t> </w:t>
            </w:r>
            <w:r w:rsidR="00165A77" w:rsidRPr="00C96AE0">
              <w:rPr>
                <w:rFonts w:ascii="Century Gothic" w:eastAsia="Times New Roman" w:hAnsi="Century Gothic" w:cs="Times New Roman"/>
                <w:i/>
                <w:iCs/>
                <w:color w:val="666666"/>
                <w:sz w:val="21"/>
                <w:szCs w:val="21"/>
                <w:bdr w:val="none" w:sz="0" w:space="0" w:color="auto" w:frame="1"/>
              </w:rPr>
              <w:t>"Any student who successfully completes a mathematics course for which one (1) of the general education core course options in mathematics is an immediate prerequisite shall be considered to have completed the Mathematics Core."</w:t>
            </w:r>
          </w:p>
          <w:p w14:paraId="52922904" w14:textId="4B509B38" w:rsidR="00165A77" w:rsidRDefault="00C96AE0" w:rsidP="00C91EB2">
            <w:pPr>
              <w:ind w:left="720"/>
              <w:textAlignment w:val="baseline"/>
              <w:rPr>
                <w:rFonts w:ascii="Century Gothic" w:eastAsia="Times New Roman" w:hAnsi="Century Gothic" w:cs="Times New Roman"/>
                <w:i/>
                <w:iCs/>
                <w:color w:val="666666"/>
                <w:sz w:val="21"/>
                <w:szCs w:val="21"/>
                <w:bdr w:val="none" w:sz="0" w:space="0" w:color="auto" w:frame="1"/>
              </w:rPr>
            </w:pPr>
            <w:r w:rsidRPr="00C96AE0">
              <w:rPr>
                <w:rFonts w:ascii="Century Gothic" w:eastAsia="Times New Roman" w:hAnsi="Century Gothic" w:cs="Times New Roman"/>
                <w:b/>
                <w:bCs/>
                <w:i/>
                <w:iCs/>
                <w:color w:val="666666"/>
                <w:sz w:val="17"/>
                <w:szCs w:val="17"/>
                <w:bdr w:val="none" w:sz="0" w:space="0" w:color="auto" w:frame="1"/>
              </w:rPr>
              <w:t>3 </w:t>
            </w:r>
            <w:r w:rsidR="00165A77" w:rsidRPr="00C96AE0">
              <w:rPr>
                <w:rFonts w:ascii="Century Gothic" w:eastAsia="Times New Roman" w:hAnsi="Century Gothic" w:cs="Times New Roman"/>
                <w:b/>
                <w:bCs/>
                <w:i/>
                <w:iCs/>
                <w:color w:val="666666"/>
                <w:sz w:val="17"/>
                <w:szCs w:val="17"/>
                <w:bdr w:val="none" w:sz="0" w:space="0" w:color="auto" w:frame="1"/>
              </w:rPr>
              <w:t>"</w:t>
            </w:r>
            <w:r w:rsidR="00165A77" w:rsidRPr="00C96AE0">
              <w:rPr>
                <w:rFonts w:ascii="Century Gothic" w:eastAsia="Times New Roman" w:hAnsi="Century Gothic" w:cs="Times New Roman"/>
                <w:i/>
                <w:iCs/>
                <w:color w:val="666666"/>
                <w:sz w:val="21"/>
                <w:szCs w:val="21"/>
                <w:bdr w:val="none" w:sz="0" w:space="0" w:color="auto" w:frame="1"/>
              </w:rPr>
              <w:t>Any student who successfully completes a natural science course for which one (1) of the general education core course options in natural science is an immediate prerequisite shall be considered to have completed the natural science core."</w:t>
            </w:r>
          </w:p>
          <w:p w14:paraId="042AAE67" w14:textId="77777777" w:rsidR="00165A77" w:rsidRPr="00C96AE0" w:rsidRDefault="00165A77" w:rsidP="00C91EB2">
            <w:pPr>
              <w:spacing w:after="0"/>
              <w:ind w:left="605"/>
              <w:textAlignment w:val="baseline"/>
              <w:rPr>
                <w:rFonts w:ascii="Century Gothic" w:eastAsia="Times New Roman" w:hAnsi="Century Gothic" w:cs="Times New Roman"/>
                <w:color w:val="666666"/>
                <w:sz w:val="21"/>
                <w:szCs w:val="21"/>
              </w:rPr>
            </w:pPr>
          </w:p>
          <w:p w14:paraId="03CA3A99" w14:textId="77777777" w:rsidR="00C96AE0" w:rsidRPr="00C96AE0" w:rsidRDefault="00C96AE0" w:rsidP="00C96AE0">
            <w:pPr>
              <w:spacing w:after="0"/>
              <w:textAlignment w:val="baseline"/>
              <w:outlineLvl w:val="1"/>
              <w:rPr>
                <w:rFonts w:ascii="Century Gothic" w:eastAsia="Times New Roman" w:hAnsi="Century Gothic" w:cs="Times New Roman"/>
                <w:b/>
                <w:bCs/>
                <w:color w:val="734E8E"/>
                <w:sz w:val="30"/>
                <w:szCs w:val="30"/>
              </w:rPr>
            </w:pPr>
            <w:bookmarkStart w:id="1" w:name="ElectiveCourses24CreditHours"/>
            <w:bookmarkEnd w:id="1"/>
            <w:r w:rsidRPr="00C96AE0">
              <w:rPr>
                <w:rFonts w:ascii="Century Gothic" w:eastAsia="Times New Roman" w:hAnsi="Century Gothic" w:cs="Times New Roman"/>
                <w:b/>
                <w:bCs/>
                <w:color w:val="734E8E"/>
                <w:sz w:val="30"/>
                <w:szCs w:val="30"/>
              </w:rPr>
              <w:t>Elective Courses: 24 Credit Hours</w:t>
            </w:r>
          </w:p>
          <w:p w14:paraId="0036AEB7" w14:textId="77777777" w:rsidR="00C96AE0" w:rsidRPr="00C96AE0" w:rsidRDefault="00A85005" w:rsidP="00C96AE0">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65C78C03">
                <v:rect id="_x0000_i1027" style="width:0;height:0" o:hralign="center" o:hrstd="t" o:hr="t" fillcolor="#a0a0a0" stroked="f"/>
              </w:pict>
            </w:r>
          </w:p>
          <w:p w14:paraId="4CD95F9F" w14:textId="15D8A9F0" w:rsidR="00C96AE0" w:rsidRPr="00C96AE0" w:rsidRDefault="00C96AE0" w:rsidP="00C91EB2">
            <w:pPr>
              <w:spacing w:before="120" w:after="24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 xml:space="preserve">Students should select elective courses that complement their intended </w:t>
            </w:r>
            <w:r w:rsidR="00165A77">
              <w:rPr>
                <w:rFonts w:ascii="Century Gothic" w:eastAsia="Times New Roman" w:hAnsi="Century Gothic" w:cs="Times New Roman"/>
                <w:color w:val="666666"/>
                <w:sz w:val="21"/>
                <w:szCs w:val="21"/>
              </w:rPr>
              <w:t>Academic and Career Pathway</w:t>
            </w:r>
            <w:r w:rsidRPr="00C96AE0">
              <w:rPr>
                <w:rFonts w:ascii="Century Gothic" w:eastAsia="Times New Roman" w:hAnsi="Century Gothic" w:cs="Times New Roman"/>
                <w:color w:val="666666"/>
                <w:sz w:val="21"/>
                <w:szCs w:val="21"/>
              </w:rPr>
              <w:t xml:space="preserve">. Additional courses in all General Education </w:t>
            </w:r>
            <w:r w:rsidR="00165A77">
              <w:rPr>
                <w:rFonts w:ascii="Century Gothic" w:eastAsia="Times New Roman" w:hAnsi="Century Gothic" w:cs="Times New Roman"/>
                <w:color w:val="666666"/>
                <w:sz w:val="21"/>
                <w:szCs w:val="21"/>
              </w:rPr>
              <w:t>categories</w:t>
            </w:r>
            <w:r w:rsidRPr="00C96AE0">
              <w:rPr>
                <w:rFonts w:ascii="Century Gothic" w:eastAsia="Times New Roman" w:hAnsi="Century Gothic" w:cs="Times New Roman"/>
                <w:color w:val="666666"/>
                <w:sz w:val="21"/>
                <w:szCs w:val="21"/>
              </w:rPr>
              <w:t xml:space="preserve"> (communications, humanities, social sciences, mathematics, and natural sciences) can fulfill elective hours.  Additionally, students </w:t>
            </w:r>
            <w:r w:rsidR="00165A77">
              <w:rPr>
                <w:rFonts w:ascii="Century Gothic" w:eastAsia="Times New Roman" w:hAnsi="Century Gothic" w:cs="Times New Roman"/>
                <w:color w:val="666666"/>
                <w:sz w:val="21"/>
                <w:szCs w:val="21"/>
              </w:rPr>
              <w:t>may</w:t>
            </w:r>
            <w:r w:rsidR="00165A77" w:rsidRPr="00C96AE0">
              <w:rPr>
                <w:rFonts w:ascii="Century Gothic" w:eastAsia="Times New Roman" w:hAnsi="Century Gothic" w:cs="Times New Roman"/>
                <w:color w:val="666666"/>
                <w:sz w:val="21"/>
                <w:szCs w:val="21"/>
              </w:rPr>
              <w:t xml:space="preserve"> </w:t>
            </w:r>
            <w:r w:rsidRPr="00C96AE0">
              <w:rPr>
                <w:rFonts w:ascii="Century Gothic" w:eastAsia="Times New Roman" w:hAnsi="Century Gothic" w:cs="Times New Roman"/>
                <w:color w:val="666666"/>
                <w:sz w:val="21"/>
                <w:szCs w:val="21"/>
              </w:rPr>
              <w:t xml:space="preserve">select courses </w:t>
            </w:r>
            <w:r w:rsidR="00165A77">
              <w:rPr>
                <w:rFonts w:ascii="Century Gothic" w:eastAsia="Times New Roman" w:hAnsi="Century Gothic" w:cs="Times New Roman"/>
                <w:color w:val="666666"/>
                <w:sz w:val="21"/>
                <w:szCs w:val="21"/>
              </w:rPr>
              <w:t xml:space="preserve">from any </w:t>
            </w:r>
            <w:r w:rsidRPr="00C96AE0">
              <w:rPr>
                <w:rFonts w:ascii="Century Gothic" w:eastAsia="Times New Roman" w:hAnsi="Century Gothic" w:cs="Times New Roman"/>
                <w:color w:val="666666"/>
                <w:sz w:val="21"/>
                <w:szCs w:val="21"/>
              </w:rPr>
              <w:t>discipline</w:t>
            </w:r>
            <w:r w:rsidR="00165A77">
              <w:rPr>
                <w:rFonts w:ascii="Century Gothic" w:eastAsia="Times New Roman" w:hAnsi="Century Gothic" w:cs="Times New Roman"/>
                <w:color w:val="666666"/>
                <w:sz w:val="21"/>
                <w:szCs w:val="21"/>
              </w:rPr>
              <w:t xml:space="preserve"> area </w:t>
            </w:r>
            <w:proofErr w:type="gramStart"/>
            <w:r w:rsidR="00165A77">
              <w:rPr>
                <w:rFonts w:ascii="Century Gothic" w:eastAsia="Times New Roman" w:hAnsi="Century Gothic" w:cs="Times New Roman"/>
                <w:color w:val="666666"/>
                <w:sz w:val="21"/>
                <w:szCs w:val="21"/>
              </w:rPr>
              <w:t>as long as</w:t>
            </w:r>
            <w:proofErr w:type="gramEnd"/>
            <w:r w:rsidR="00165A77">
              <w:rPr>
                <w:rFonts w:ascii="Century Gothic" w:eastAsia="Times New Roman" w:hAnsi="Century Gothic" w:cs="Times New Roman"/>
                <w:color w:val="666666"/>
                <w:sz w:val="21"/>
                <w:szCs w:val="21"/>
              </w:rPr>
              <w:t xml:space="preserve"> the course is not designated as an Associate in Science (AS) course</w:t>
            </w:r>
            <w:r w:rsidRPr="00C96AE0">
              <w:rPr>
                <w:rFonts w:ascii="Century Gothic" w:eastAsia="Times New Roman" w:hAnsi="Century Gothic" w:cs="Times New Roman"/>
                <w:color w:val="666666"/>
                <w:sz w:val="21"/>
                <w:szCs w:val="21"/>
              </w:rPr>
              <w:t>.  Consult the Course Descriptions section of the Catalog for additional course information.</w:t>
            </w:r>
          </w:p>
          <w:p w14:paraId="4A3638FE" w14:textId="77777777" w:rsidR="00C96AE0" w:rsidRPr="00C96AE0" w:rsidRDefault="00C96AE0" w:rsidP="00C91EB2">
            <w:pPr>
              <w:spacing w:after="24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All incoming degree-seeking students who have earned fewer than 30 credits are required to take and successfully complete SLS 1515 - Cornerstone Experience in the first semester. Successful completion is defined as earning a "C" or better in the course.</w:t>
            </w:r>
          </w:p>
          <w:p w14:paraId="1D96E77A" w14:textId="50DC55D1" w:rsidR="00165A77" w:rsidRPr="00165A77" w:rsidRDefault="00165A77" w:rsidP="00C91EB2">
            <w:pPr>
              <w:spacing w:after="240"/>
              <w:textAlignment w:val="baseline"/>
              <w:rPr>
                <w:rFonts w:ascii="Century Gothic" w:eastAsia="Times New Roman" w:hAnsi="Century Gothic" w:cs="Times New Roman"/>
                <w:color w:val="666666"/>
                <w:sz w:val="21"/>
                <w:szCs w:val="21"/>
              </w:rPr>
            </w:pPr>
            <w:r w:rsidRPr="00165A77">
              <w:rPr>
                <w:rFonts w:ascii="Century Gothic" w:eastAsia="Times New Roman" w:hAnsi="Century Gothic" w:cs="Times New Roman"/>
                <w:color w:val="666666"/>
                <w:sz w:val="21"/>
                <w:szCs w:val="21"/>
              </w:rPr>
              <w:t xml:space="preserve">All incoming degree-seeking students who have earned fewer than 45 credits are required to take and successfully complete IDS 2891 – CREATIVE Capstone after the completion of 30 hours towards the Associate in Arts Degree, including (ENC 1101 and </w:t>
            </w:r>
            <w:r w:rsidR="005653A2">
              <w:rPr>
                <w:rFonts w:ascii="Century Gothic" w:eastAsia="Times New Roman" w:hAnsi="Century Gothic" w:cs="Times New Roman"/>
                <w:color w:val="666666"/>
                <w:sz w:val="21"/>
                <w:szCs w:val="21"/>
              </w:rPr>
              <w:t xml:space="preserve">ENC </w:t>
            </w:r>
            <w:r w:rsidRPr="00165A77">
              <w:rPr>
                <w:rFonts w:ascii="Century Gothic" w:eastAsia="Times New Roman" w:hAnsi="Century Gothic" w:cs="Times New Roman"/>
                <w:color w:val="666666"/>
                <w:sz w:val="21"/>
                <w:szCs w:val="21"/>
              </w:rPr>
              <w:t>1</w:t>
            </w:r>
            <w:r w:rsidR="00700351">
              <w:rPr>
                <w:rFonts w:ascii="Century Gothic" w:eastAsia="Times New Roman" w:hAnsi="Century Gothic" w:cs="Times New Roman"/>
                <w:color w:val="666666"/>
                <w:sz w:val="21"/>
                <w:szCs w:val="21"/>
              </w:rPr>
              <w:t>1</w:t>
            </w:r>
            <w:r w:rsidRPr="00165A77">
              <w:rPr>
                <w:rFonts w:ascii="Century Gothic" w:eastAsia="Times New Roman" w:hAnsi="Century Gothic" w:cs="Times New Roman"/>
                <w:color w:val="666666"/>
                <w:sz w:val="21"/>
                <w:szCs w:val="21"/>
              </w:rPr>
              <w:t>02) OR (ENC 1</w:t>
            </w:r>
            <w:r w:rsidR="00700351">
              <w:rPr>
                <w:rFonts w:ascii="Century Gothic" w:eastAsia="Times New Roman" w:hAnsi="Century Gothic" w:cs="Times New Roman"/>
                <w:color w:val="666666"/>
                <w:sz w:val="21"/>
                <w:szCs w:val="21"/>
              </w:rPr>
              <w:t>1</w:t>
            </w:r>
            <w:r w:rsidRPr="00165A77">
              <w:rPr>
                <w:rFonts w:ascii="Century Gothic" w:eastAsia="Times New Roman" w:hAnsi="Century Gothic" w:cs="Times New Roman"/>
                <w:color w:val="666666"/>
                <w:sz w:val="21"/>
                <w:szCs w:val="21"/>
              </w:rPr>
              <w:t>01 and SPC 1017</w:t>
            </w:r>
            <w:r w:rsidR="00714CF1">
              <w:rPr>
                <w:rFonts w:ascii="Century Gothic" w:eastAsia="Times New Roman" w:hAnsi="Century Gothic" w:cs="Times New Roman"/>
                <w:color w:val="666666"/>
                <w:sz w:val="21"/>
                <w:szCs w:val="21"/>
              </w:rPr>
              <w:t>)</w:t>
            </w:r>
            <w:r w:rsidRPr="00165A77">
              <w:rPr>
                <w:rFonts w:ascii="Century Gothic" w:eastAsia="Times New Roman" w:hAnsi="Century Gothic" w:cs="Times New Roman"/>
                <w:color w:val="666666"/>
                <w:sz w:val="21"/>
                <w:szCs w:val="21"/>
              </w:rPr>
              <w:t xml:space="preserve"> OR (ENC 1101 and SPC 2608). Successful completion is defined as earning a “D” or better in the course.</w:t>
            </w:r>
          </w:p>
          <w:p w14:paraId="1D355585" w14:textId="3624729B" w:rsidR="00C96AE0" w:rsidRPr="00C96AE0" w:rsidRDefault="00C96AE0" w:rsidP="00C91EB2">
            <w:pPr>
              <w:spacing w:after="24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 xml:space="preserve">Students are encouraged to </w:t>
            </w:r>
            <w:r w:rsidR="00165A77">
              <w:rPr>
                <w:rFonts w:ascii="Century Gothic" w:eastAsia="Times New Roman" w:hAnsi="Century Gothic" w:cs="Times New Roman"/>
                <w:color w:val="666666"/>
                <w:sz w:val="21"/>
                <w:szCs w:val="21"/>
              </w:rPr>
              <w:t>meet with their Student Success</w:t>
            </w:r>
            <w:r w:rsidRPr="00C96AE0">
              <w:rPr>
                <w:rFonts w:ascii="Century Gothic" w:eastAsia="Times New Roman" w:hAnsi="Century Gothic" w:cs="Times New Roman"/>
                <w:color w:val="666666"/>
                <w:sz w:val="21"/>
                <w:szCs w:val="21"/>
              </w:rPr>
              <w:t xml:space="preserve"> </w:t>
            </w:r>
            <w:r w:rsidR="00165A77">
              <w:rPr>
                <w:rFonts w:ascii="Century Gothic" w:eastAsia="Times New Roman" w:hAnsi="Century Gothic" w:cs="Times New Roman"/>
                <w:color w:val="666666"/>
                <w:sz w:val="21"/>
                <w:szCs w:val="21"/>
              </w:rPr>
              <w:t>A</w:t>
            </w:r>
            <w:r w:rsidRPr="00C96AE0">
              <w:rPr>
                <w:rFonts w:ascii="Century Gothic" w:eastAsia="Times New Roman" w:hAnsi="Century Gothic" w:cs="Times New Roman"/>
                <w:color w:val="666666"/>
                <w:sz w:val="21"/>
                <w:szCs w:val="21"/>
              </w:rPr>
              <w:t>dvisor to review program prerequisites and common course prerequisites for baccalaureate program areas (also available through Florida Virtual Campus at </w:t>
            </w:r>
            <w:hyperlink r:id="rId14" w:history="1">
              <w:r w:rsidRPr="00C96AE0">
                <w:rPr>
                  <w:rFonts w:ascii="Century Gothic" w:eastAsia="Times New Roman" w:hAnsi="Century Gothic" w:cs="Times New Roman"/>
                  <w:color w:val="41A5A3"/>
                  <w:sz w:val="21"/>
                  <w:szCs w:val="21"/>
                  <w:bdr w:val="none" w:sz="0" w:space="0" w:color="auto" w:frame="1"/>
                </w:rPr>
                <w:t>www.floridashines.org</w:t>
              </w:r>
            </w:hyperlink>
            <w:r w:rsidRPr="00C96AE0">
              <w:rPr>
                <w:rFonts w:ascii="Century Gothic" w:eastAsia="Times New Roman" w:hAnsi="Century Gothic" w:cs="Times New Roman"/>
                <w:color w:val="666666"/>
                <w:sz w:val="21"/>
                <w:szCs w:val="21"/>
              </w:rPr>
              <w:t>).</w:t>
            </w:r>
          </w:p>
          <w:p w14:paraId="221EA2B7" w14:textId="0E250183" w:rsidR="00C96AE0" w:rsidRPr="00C96AE0" w:rsidRDefault="00C96AE0" w:rsidP="00C91EB2">
            <w:p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English for Academic Purposes (EAP) college-level coursework (EAP 1500 and above) is limited to 12 credit hours within the 24 credit-hour electives for the AA degree.</w:t>
            </w:r>
          </w:p>
          <w:p w14:paraId="3CB7B729" w14:textId="77777777" w:rsidR="00C96AE0" w:rsidRPr="00C96AE0" w:rsidRDefault="00C96AE0" w:rsidP="00C91EB2">
            <w:pPr>
              <w:spacing w:after="0"/>
              <w:textAlignment w:val="baseline"/>
              <w:rPr>
                <w:rFonts w:ascii="Century Gothic" w:eastAsia="Times New Roman" w:hAnsi="Century Gothic" w:cs="Times New Roman"/>
                <w:color w:val="666666"/>
                <w:sz w:val="21"/>
                <w:szCs w:val="21"/>
              </w:rPr>
            </w:pPr>
          </w:p>
          <w:p w14:paraId="0C550054" w14:textId="77777777" w:rsidR="00C96AE0" w:rsidRPr="00C96AE0" w:rsidRDefault="00C96AE0" w:rsidP="00C96AE0">
            <w:pPr>
              <w:spacing w:after="0"/>
              <w:textAlignment w:val="baseline"/>
              <w:outlineLvl w:val="1"/>
              <w:rPr>
                <w:rFonts w:ascii="Century Gothic" w:eastAsia="Times New Roman" w:hAnsi="Century Gothic" w:cs="Times New Roman"/>
                <w:b/>
                <w:bCs/>
                <w:color w:val="734E8E"/>
                <w:sz w:val="30"/>
                <w:szCs w:val="30"/>
              </w:rPr>
            </w:pPr>
            <w:bookmarkStart w:id="2" w:name="OtherAssociateInArtsInformationAndRequir"/>
            <w:bookmarkEnd w:id="2"/>
            <w:r w:rsidRPr="00C96AE0">
              <w:rPr>
                <w:rFonts w:ascii="Century Gothic" w:eastAsia="Times New Roman" w:hAnsi="Century Gothic" w:cs="Times New Roman"/>
                <w:b/>
                <w:bCs/>
                <w:color w:val="734E8E"/>
                <w:sz w:val="30"/>
                <w:szCs w:val="30"/>
              </w:rPr>
              <w:t>Other Associate in Arts Information and Requirements</w:t>
            </w:r>
          </w:p>
          <w:p w14:paraId="33FA52AF" w14:textId="77777777" w:rsidR="00C96AE0" w:rsidRPr="00C96AE0" w:rsidRDefault="00A85005" w:rsidP="00C96AE0">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33533631">
                <v:rect id="_x0000_i1028" style="width:0;height:0" o:hralign="center" o:hrstd="t" o:hr="t" fillcolor="#a0a0a0" stroked="f"/>
              </w:pict>
            </w:r>
          </w:p>
          <w:p w14:paraId="2F781D86" w14:textId="77777777" w:rsidR="00DC6417" w:rsidRDefault="00DC6417">
            <w:pPr>
              <w:textAlignment w:val="baseline"/>
              <w:rPr>
                <w:rFonts w:ascii="Century Gothic" w:eastAsia="Times New Roman" w:hAnsi="Century Gothic" w:cs="Times New Roman"/>
                <w:b/>
                <w:bCs/>
                <w:color w:val="666666"/>
                <w:sz w:val="21"/>
                <w:szCs w:val="21"/>
                <w:bdr w:val="none" w:sz="0" w:space="0" w:color="auto" w:frame="1"/>
              </w:rPr>
            </w:pPr>
          </w:p>
          <w:p w14:paraId="2542D7F2" w14:textId="230C71D8" w:rsidR="00C96AE0" w:rsidRPr="00C96AE0" w:rsidRDefault="00C96AE0" w:rsidP="00142611">
            <w:p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b/>
                <w:bCs/>
                <w:color w:val="666666"/>
                <w:sz w:val="21"/>
                <w:szCs w:val="21"/>
                <w:bdr w:val="none" w:sz="0" w:space="0" w:color="auto" w:frame="1"/>
              </w:rPr>
              <w:lastRenderedPageBreak/>
              <w:t>Foreign Language Competency Requirement</w:t>
            </w:r>
          </w:p>
          <w:p w14:paraId="106326A0" w14:textId="3A8D2F41" w:rsidR="00C96AE0" w:rsidRPr="00C96AE0" w:rsidRDefault="00C96AE0" w:rsidP="00142611">
            <w:p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In accordance with </w:t>
            </w:r>
            <w:hyperlink r:id="rId15" w:history="1">
              <w:r w:rsidRPr="00C96AE0">
                <w:rPr>
                  <w:rFonts w:ascii="Century Gothic" w:eastAsia="Times New Roman" w:hAnsi="Century Gothic" w:cs="Times New Roman"/>
                  <w:color w:val="41A5A3"/>
                  <w:sz w:val="21"/>
                  <w:szCs w:val="21"/>
                  <w:bdr w:val="none" w:sz="0" w:space="0" w:color="auto" w:frame="1"/>
                </w:rPr>
                <w:t>Florida Statute 1007.25</w:t>
              </w:r>
            </w:hyperlink>
            <w:r w:rsidRPr="00C96AE0">
              <w:rPr>
                <w:rFonts w:ascii="Century Gothic" w:eastAsia="Times New Roman" w:hAnsi="Century Gothic" w:cs="Times New Roman"/>
                <w:color w:val="666666"/>
                <w:sz w:val="21"/>
                <w:szCs w:val="21"/>
              </w:rPr>
              <w:t xml:space="preserve">, students initially entering a Florida College System Institution in </w:t>
            </w:r>
            <w:r w:rsidR="00915392">
              <w:rPr>
                <w:rFonts w:ascii="Century Gothic" w:eastAsia="Times New Roman" w:hAnsi="Century Gothic" w:cs="Times New Roman"/>
                <w:color w:val="666666"/>
                <w:sz w:val="21"/>
                <w:szCs w:val="21"/>
              </w:rPr>
              <w:t xml:space="preserve">the </w:t>
            </w:r>
            <w:r w:rsidRPr="00C96AE0">
              <w:rPr>
                <w:rFonts w:ascii="Century Gothic" w:eastAsia="Times New Roman" w:hAnsi="Century Gothic" w:cs="Times New Roman"/>
                <w:color w:val="666666"/>
                <w:sz w:val="21"/>
                <w:szCs w:val="21"/>
              </w:rPr>
              <w:t xml:space="preserve">2014-2015 </w:t>
            </w:r>
            <w:r w:rsidR="00915392">
              <w:rPr>
                <w:rFonts w:ascii="Century Gothic" w:eastAsia="Times New Roman" w:hAnsi="Century Gothic" w:cs="Times New Roman"/>
                <w:color w:val="666666"/>
                <w:sz w:val="21"/>
                <w:szCs w:val="21"/>
              </w:rPr>
              <w:t xml:space="preserve">academic year, </w:t>
            </w:r>
            <w:r w:rsidRPr="00C96AE0">
              <w:rPr>
                <w:rFonts w:ascii="Century Gothic" w:eastAsia="Times New Roman" w:hAnsi="Century Gothic" w:cs="Times New Roman"/>
                <w:color w:val="666666"/>
                <w:sz w:val="21"/>
                <w:szCs w:val="21"/>
              </w:rPr>
              <w:t>and thereafter</w:t>
            </w:r>
            <w:r w:rsidR="00915392">
              <w:rPr>
                <w:rFonts w:ascii="Century Gothic" w:eastAsia="Times New Roman" w:hAnsi="Century Gothic" w:cs="Times New Roman"/>
                <w:color w:val="666666"/>
                <w:sz w:val="21"/>
                <w:szCs w:val="21"/>
              </w:rPr>
              <w:t>,</w:t>
            </w:r>
            <w:r w:rsidRPr="00C96AE0">
              <w:rPr>
                <w:rFonts w:ascii="Century Gothic" w:eastAsia="Times New Roman" w:hAnsi="Century Gothic" w:cs="Times New Roman"/>
                <w:color w:val="666666"/>
                <w:sz w:val="21"/>
                <w:szCs w:val="21"/>
              </w:rPr>
              <w:t xml:space="preserve"> must demonstrate competency in foreign language pursuant to guidelines set in </w:t>
            </w:r>
            <w:hyperlink r:id="rId16" w:history="1">
              <w:r w:rsidRPr="00C96AE0">
                <w:rPr>
                  <w:rFonts w:ascii="Century Gothic" w:eastAsia="Times New Roman" w:hAnsi="Century Gothic" w:cs="Times New Roman"/>
                  <w:color w:val="41A5A3"/>
                  <w:sz w:val="21"/>
                  <w:szCs w:val="21"/>
                  <w:bdr w:val="none" w:sz="0" w:space="0" w:color="auto" w:frame="1"/>
                </w:rPr>
                <w:t>Florida Statute 1007.262</w:t>
              </w:r>
            </w:hyperlink>
            <w:r w:rsidRPr="00C96AE0">
              <w:rPr>
                <w:rFonts w:ascii="Century Gothic" w:eastAsia="Times New Roman" w:hAnsi="Century Gothic" w:cs="Times New Roman"/>
                <w:color w:val="666666"/>
                <w:sz w:val="21"/>
                <w:szCs w:val="21"/>
              </w:rPr>
              <w:t>.</w:t>
            </w:r>
          </w:p>
          <w:p w14:paraId="46CD7515" w14:textId="77777777" w:rsidR="00C96AE0" w:rsidRPr="00C96AE0" w:rsidRDefault="00C96AE0" w:rsidP="00142611">
            <w:pPr>
              <w:spacing w:before="15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The Foreign Language Competency Requirement may be met by:</w:t>
            </w:r>
          </w:p>
          <w:p w14:paraId="53117FDE" w14:textId="77777777" w:rsidR="00C96AE0" w:rsidRPr="00C96AE0" w:rsidRDefault="00C96AE0" w:rsidP="00142611">
            <w:pPr>
              <w:numPr>
                <w:ilvl w:val="0"/>
                <w:numId w:val="1"/>
              </w:num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2 years of the same High School Foreign Language, or</w:t>
            </w:r>
          </w:p>
          <w:p w14:paraId="61634E4C" w14:textId="77777777" w:rsidR="00C96AE0" w:rsidRPr="00C96AE0" w:rsidRDefault="00C96AE0" w:rsidP="00142611">
            <w:pPr>
              <w:numPr>
                <w:ilvl w:val="0"/>
                <w:numId w:val="1"/>
              </w:num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Documented foreign language proficiency through testing, or</w:t>
            </w:r>
          </w:p>
          <w:p w14:paraId="39BFB3F8" w14:textId="77777777" w:rsidR="00C96AE0" w:rsidRPr="00C96AE0" w:rsidRDefault="00C96AE0" w:rsidP="00142611">
            <w:pPr>
              <w:numPr>
                <w:ilvl w:val="0"/>
                <w:numId w:val="1"/>
              </w:num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2 semesters of the same College Level Foreign Language (level II proficiency), or</w:t>
            </w:r>
          </w:p>
          <w:p w14:paraId="0A67FC53" w14:textId="77A4F159" w:rsidR="00C96AE0" w:rsidRDefault="00C96AE0" w:rsidP="00142611">
            <w:pPr>
              <w:numPr>
                <w:ilvl w:val="0"/>
                <w:numId w:val="1"/>
              </w:num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Level II proficiency - this criterion occurs when a student has completed the second course of a sequence of college foreign language without completing the first course.  For example, if a student has successfully completed a college-level Spanish II but not Spanish I, then the student has met the Foreign Language Competency requirement.</w:t>
            </w:r>
          </w:p>
          <w:p w14:paraId="0DCBDA2C" w14:textId="77777777" w:rsidR="00C96AE0" w:rsidRPr="00C96AE0" w:rsidRDefault="00C96AE0" w:rsidP="00C96AE0">
            <w:pPr>
              <w:spacing w:after="30"/>
              <w:ind w:left="720"/>
              <w:textAlignment w:val="baseline"/>
              <w:rPr>
                <w:rFonts w:ascii="Century Gothic" w:eastAsia="Times New Roman" w:hAnsi="Century Gothic" w:cs="Times New Roman"/>
                <w:color w:val="666666"/>
                <w:sz w:val="21"/>
                <w:szCs w:val="21"/>
              </w:rPr>
            </w:pPr>
          </w:p>
          <w:p w14:paraId="5247BDB7" w14:textId="77777777" w:rsidR="00C96AE0" w:rsidRPr="00C96AE0" w:rsidRDefault="00C96AE0" w:rsidP="00C96AE0">
            <w:pPr>
              <w:spacing w:after="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b/>
                <w:bCs/>
                <w:color w:val="666666"/>
                <w:sz w:val="21"/>
                <w:szCs w:val="21"/>
                <w:bdr w:val="none" w:sz="0" w:space="0" w:color="auto" w:frame="1"/>
              </w:rPr>
              <w:t>Civic Literacy Competency Requirement</w:t>
            </w:r>
          </w:p>
          <w:p w14:paraId="2545ECD9" w14:textId="04DFE635" w:rsidR="00C96AE0" w:rsidRPr="00C96AE0" w:rsidRDefault="00C96AE0" w:rsidP="00C96AE0">
            <w:pPr>
              <w:spacing w:before="150" w:after="15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 xml:space="preserve">In accordance with the State Board of Education Rule 6A-10.02413, </w:t>
            </w:r>
            <w:r w:rsidR="006D1AD9">
              <w:rPr>
                <w:rFonts w:ascii="Century Gothic" w:eastAsia="Times New Roman" w:hAnsi="Century Gothic" w:cs="Times New Roman"/>
                <w:color w:val="666666"/>
                <w:sz w:val="21"/>
                <w:szCs w:val="21"/>
              </w:rPr>
              <w:t>p</w:t>
            </w:r>
            <w:r w:rsidR="006D1AD9" w:rsidRPr="00C96AE0">
              <w:rPr>
                <w:rFonts w:ascii="Century Gothic" w:eastAsia="Times New Roman" w:hAnsi="Century Gothic" w:cs="Times New Roman"/>
                <w:color w:val="666666"/>
                <w:sz w:val="21"/>
                <w:szCs w:val="21"/>
              </w:rPr>
              <w:t xml:space="preserve">rior </w:t>
            </w:r>
            <w:r w:rsidRPr="00C96AE0">
              <w:rPr>
                <w:rFonts w:ascii="Century Gothic" w:eastAsia="Times New Roman" w:hAnsi="Century Gothic" w:cs="Times New Roman"/>
                <w:color w:val="666666"/>
                <w:sz w:val="21"/>
                <w:szCs w:val="21"/>
              </w:rPr>
              <w:t xml:space="preserve">to the award of an </w:t>
            </w:r>
            <w:r w:rsidR="006D1AD9">
              <w:rPr>
                <w:rFonts w:ascii="Century Gothic" w:eastAsia="Times New Roman" w:hAnsi="Century Gothic" w:cs="Times New Roman"/>
                <w:color w:val="666666"/>
                <w:sz w:val="21"/>
                <w:szCs w:val="21"/>
              </w:rPr>
              <w:t>A</w:t>
            </w:r>
            <w:r w:rsidR="006D1AD9" w:rsidRPr="00C96AE0">
              <w:rPr>
                <w:rFonts w:ascii="Century Gothic" w:eastAsia="Times New Roman" w:hAnsi="Century Gothic" w:cs="Times New Roman"/>
                <w:color w:val="666666"/>
                <w:sz w:val="21"/>
                <w:szCs w:val="21"/>
              </w:rPr>
              <w:t xml:space="preserve">ssociate </w:t>
            </w:r>
            <w:r w:rsidRPr="00C96AE0">
              <w:rPr>
                <w:rFonts w:ascii="Century Gothic" w:eastAsia="Times New Roman" w:hAnsi="Century Gothic" w:cs="Times New Roman"/>
                <w:color w:val="666666"/>
                <w:sz w:val="21"/>
                <w:szCs w:val="21"/>
              </w:rPr>
              <w:t xml:space="preserve">in </w:t>
            </w:r>
            <w:r w:rsidR="006D1AD9">
              <w:rPr>
                <w:rFonts w:ascii="Century Gothic" w:eastAsia="Times New Roman" w:hAnsi="Century Gothic" w:cs="Times New Roman"/>
                <w:color w:val="666666"/>
                <w:sz w:val="21"/>
                <w:szCs w:val="21"/>
              </w:rPr>
              <w:t>A</w:t>
            </w:r>
            <w:r w:rsidR="006D1AD9" w:rsidRPr="00C96AE0">
              <w:rPr>
                <w:rFonts w:ascii="Century Gothic" w:eastAsia="Times New Roman" w:hAnsi="Century Gothic" w:cs="Times New Roman"/>
                <w:color w:val="666666"/>
                <w:sz w:val="21"/>
                <w:szCs w:val="21"/>
              </w:rPr>
              <w:t>rts</w:t>
            </w:r>
            <w:r w:rsidR="006D1AD9">
              <w:rPr>
                <w:rFonts w:ascii="Century Gothic" w:eastAsia="Times New Roman" w:hAnsi="Century Gothic" w:cs="Times New Roman"/>
                <w:color w:val="666666"/>
                <w:sz w:val="21"/>
                <w:szCs w:val="21"/>
              </w:rPr>
              <w:t xml:space="preserve"> degree</w:t>
            </w:r>
            <w:r w:rsidRPr="00C96AE0">
              <w:rPr>
                <w:rFonts w:ascii="Century Gothic" w:eastAsia="Times New Roman" w:hAnsi="Century Gothic" w:cs="Times New Roman"/>
                <w:color w:val="666666"/>
                <w:sz w:val="21"/>
                <w:szCs w:val="21"/>
              </w:rPr>
              <w:t xml:space="preserve">, students </w:t>
            </w:r>
            <w:r w:rsidR="006D1AD9">
              <w:rPr>
                <w:rFonts w:ascii="Century Gothic" w:eastAsia="Times New Roman" w:hAnsi="Century Gothic" w:cs="Times New Roman"/>
                <w:color w:val="666666"/>
                <w:sz w:val="21"/>
                <w:szCs w:val="21"/>
              </w:rPr>
              <w:t xml:space="preserve">initially </w:t>
            </w:r>
            <w:r w:rsidRPr="00C96AE0">
              <w:rPr>
                <w:rFonts w:ascii="Century Gothic" w:eastAsia="Times New Roman" w:hAnsi="Century Gothic" w:cs="Times New Roman"/>
                <w:color w:val="666666"/>
                <w:sz w:val="21"/>
                <w:szCs w:val="21"/>
              </w:rPr>
              <w:t xml:space="preserve">entering a Florida College System institution in the </w:t>
            </w:r>
            <w:r w:rsidR="006D1AD9">
              <w:rPr>
                <w:rFonts w:ascii="Century Gothic" w:eastAsia="Times New Roman" w:hAnsi="Century Gothic" w:cs="Times New Roman"/>
                <w:color w:val="666666"/>
                <w:sz w:val="21"/>
                <w:szCs w:val="21"/>
              </w:rPr>
              <w:t>2021-2022</w:t>
            </w:r>
            <w:r w:rsidRPr="00C96AE0">
              <w:rPr>
                <w:rFonts w:ascii="Century Gothic" w:eastAsia="Times New Roman" w:hAnsi="Century Gothic" w:cs="Times New Roman"/>
                <w:color w:val="666666"/>
                <w:sz w:val="21"/>
                <w:szCs w:val="21"/>
              </w:rPr>
              <w:t xml:space="preserve"> </w:t>
            </w:r>
            <w:r w:rsidR="006D1AD9">
              <w:rPr>
                <w:rFonts w:ascii="Century Gothic" w:eastAsia="Times New Roman" w:hAnsi="Century Gothic" w:cs="Times New Roman"/>
                <w:color w:val="666666"/>
                <w:sz w:val="21"/>
                <w:szCs w:val="21"/>
              </w:rPr>
              <w:t xml:space="preserve">academic </w:t>
            </w:r>
            <w:r w:rsidRPr="00C96AE0">
              <w:rPr>
                <w:rFonts w:ascii="Century Gothic" w:eastAsia="Times New Roman" w:hAnsi="Century Gothic" w:cs="Times New Roman"/>
                <w:color w:val="666666"/>
                <w:sz w:val="21"/>
                <w:szCs w:val="21"/>
              </w:rPr>
              <w:t>year, and thereafter</w:t>
            </w:r>
            <w:r w:rsidR="006D1AD9">
              <w:rPr>
                <w:rFonts w:ascii="Century Gothic" w:eastAsia="Times New Roman" w:hAnsi="Century Gothic" w:cs="Times New Roman"/>
                <w:color w:val="666666"/>
                <w:sz w:val="21"/>
                <w:szCs w:val="21"/>
              </w:rPr>
              <w:t>,</w:t>
            </w:r>
            <w:r w:rsidRPr="00C96AE0">
              <w:rPr>
                <w:rFonts w:ascii="Century Gothic" w:eastAsia="Times New Roman" w:hAnsi="Century Gothic" w:cs="Times New Roman"/>
                <w:color w:val="666666"/>
                <w:sz w:val="21"/>
                <w:szCs w:val="21"/>
              </w:rPr>
              <w:t xml:space="preserve"> must demonstrate competency in civic literacy </w:t>
            </w:r>
            <w:r w:rsidR="006D1AD9">
              <w:rPr>
                <w:rFonts w:ascii="Century Gothic" w:eastAsia="Times New Roman" w:hAnsi="Century Gothic" w:cs="Times New Roman"/>
                <w:color w:val="666666"/>
                <w:sz w:val="21"/>
                <w:szCs w:val="21"/>
              </w:rPr>
              <w:t xml:space="preserve">by achieving a passing score on the Florida Civic Literacy Exam and by successfully passing a civic literacy course. This requirement must be satisfied </w:t>
            </w:r>
            <w:r w:rsidRPr="00C96AE0">
              <w:rPr>
                <w:rFonts w:ascii="Century Gothic" w:eastAsia="Times New Roman" w:hAnsi="Century Gothic" w:cs="Times New Roman"/>
                <w:color w:val="666666"/>
                <w:sz w:val="21"/>
                <w:szCs w:val="21"/>
              </w:rPr>
              <w:t xml:space="preserve">through the following </w:t>
            </w:r>
            <w:r w:rsidR="006D1AD9">
              <w:rPr>
                <w:rFonts w:ascii="Century Gothic" w:eastAsia="Times New Roman" w:hAnsi="Century Gothic" w:cs="Times New Roman"/>
                <w:color w:val="666666"/>
                <w:sz w:val="21"/>
                <w:szCs w:val="21"/>
              </w:rPr>
              <w:t>two criteria</w:t>
            </w:r>
            <w:r w:rsidR="006D1AD9" w:rsidRPr="00C96AE0">
              <w:rPr>
                <w:rFonts w:ascii="Century Gothic" w:eastAsia="Times New Roman" w:hAnsi="Century Gothic" w:cs="Times New Roman"/>
                <w:color w:val="666666"/>
                <w:sz w:val="21"/>
                <w:szCs w:val="21"/>
              </w:rPr>
              <w:t xml:space="preserve"> </w:t>
            </w:r>
            <w:r w:rsidRPr="00C96AE0">
              <w:rPr>
                <w:rFonts w:ascii="Century Gothic" w:eastAsia="Times New Roman" w:hAnsi="Century Gothic" w:cs="Times New Roman"/>
                <w:color w:val="666666"/>
                <w:sz w:val="21"/>
                <w:szCs w:val="21"/>
              </w:rPr>
              <w:t>prior to graduation:</w:t>
            </w:r>
          </w:p>
          <w:p w14:paraId="069C12BC" w14:textId="4ABF9FDF" w:rsidR="00C96AE0" w:rsidRPr="00C96AE0" w:rsidRDefault="00C96AE0" w:rsidP="00142611">
            <w:pPr>
              <w:numPr>
                <w:ilvl w:val="0"/>
                <w:numId w:val="2"/>
              </w:num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Successfully passing either POS</w:t>
            </w:r>
            <w:r w:rsidR="006D1AD9">
              <w:rPr>
                <w:rFonts w:ascii="Century Gothic" w:eastAsia="Times New Roman" w:hAnsi="Century Gothic" w:cs="Times New Roman"/>
                <w:color w:val="666666"/>
                <w:sz w:val="21"/>
                <w:szCs w:val="21"/>
              </w:rPr>
              <w:t xml:space="preserve"> 2</w:t>
            </w:r>
            <w:r w:rsidR="006D1AD9" w:rsidRPr="00C96AE0">
              <w:rPr>
                <w:rFonts w:ascii="Century Gothic" w:eastAsia="Times New Roman" w:hAnsi="Century Gothic" w:cs="Times New Roman"/>
                <w:color w:val="666666"/>
                <w:sz w:val="21"/>
                <w:szCs w:val="21"/>
              </w:rPr>
              <w:t xml:space="preserve">041 </w:t>
            </w:r>
            <w:r w:rsidRPr="00C96AE0">
              <w:rPr>
                <w:rFonts w:ascii="Century Gothic" w:eastAsia="Times New Roman" w:hAnsi="Century Gothic" w:cs="Times New Roman"/>
                <w:color w:val="666666"/>
                <w:sz w:val="21"/>
                <w:szCs w:val="21"/>
              </w:rPr>
              <w:t xml:space="preserve">American </w:t>
            </w:r>
            <w:r w:rsidR="006D1AD9">
              <w:rPr>
                <w:rFonts w:ascii="Century Gothic" w:eastAsia="Times New Roman" w:hAnsi="Century Gothic" w:cs="Times New Roman"/>
                <w:color w:val="666666"/>
                <w:sz w:val="21"/>
                <w:szCs w:val="21"/>
              </w:rPr>
              <w:t xml:space="preserve">National </w:t>
            </w:r>
            <w:r w:rsidRPr="00C96AE0">
              <w:rPr>
                <w:rFonts w:ascii="Century Gothic" w:eastAsia="Times New Roman" w:hAnsi="Century Gothic" w:cs="Times New Roman"/>
                <w:color w:val="666666"/>
                <w:sz w:val="21"/>
                <w:szCs w:val="21"/>
              </w:rPr>
              <w:t>Government or AMH</w:t>
            </w:r>
            <w:r w:rsidR="006D1AD9">
              <w:rPr>
                <w:rFonts w:ascii="Century Gothic" w:eastAsia="Times New Roman" w:hAnsi="Century Gothic" w:cs="Times New Roman"/>
                <w:color w:val="666666"/>
                <w:sz w:val="21"/>
                <w:szCs w:val="21"/>
              </w:rPr>
              <w:t xml:space="preserve"> 2</w:t>
            </w:r>
            <w:r w:rsidR="006D1AD9" w:rsidRPr="00C96AE0">
              <w:rPr>
                <w:rFonts w:ascii="Century Gothic" w:eastAsia="Times New Roman" w:hAnsi="Century Gothic" w:cs="Times New Roman"/>
                <w:color w:val="666666"/>
                <w:sz w:val="21"/>
                <w:szCs w:val="21"/>
              </w:rPr>
              <w:t xml:space="preserve">020 </w:t>
            </w:r>
            <w:r w:rsidR="006D1AD9">
              <w:rPr>
                <w:rFonts w:ascii="Century Gothic" w:eastAsia="Times New Roman" w:hAnsi="Century Gothic" w:cs="Times New Roman"/>
                <w:color w:val="666666"/>
                <w:sz w:val="21"/>
                <w:szCs w:val="21"/>
              </w:rPr>
              <w:t xml:space="preserve">History of the United States </w:t>
            </w:r>
            <w:r w:rsidRPr="00C96AE0">
              <w:rPr>
                <w:rFonts w:ascii="Century Gothic" w:eastAsia="Times New Roman" w:hAnsi="Century Gothic" w:cs="Times New Roman"/>
                <w:color w:val="666666"/>
                <w:sz w:val="21"/>
                <w:szCs w:val="21"/>
              </w:rPr>
              <w:t>Since 1877. Each of the courses must include the following competencies:</w:t>
            </w:r>
          </w:p>
          <w:p w14:paraId="2C8757DE" w14:textId="77777777" w:rsidR="00C96AE0" w:rsidRPr="00C96AE0" w:rsidRDefault="00C96AE0" w:rsidP="00142611">
            <w:pPr>
              <w:numPr>
                <w:ilvl w:val="1"/>
                <w:numId w:val="2"/>
              </w:numPr>
              <w:ind w:left="108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Understanding of the basic principles and practices of American democracy and how they are applied in our republican form of government;</w:t>
            </w:r>
          </w:p>
          <w:p w14:paraId="51C75FAC" w14:textId="77777777" w:rsidR="006D1AD9" w:rsidRDefault="00C96AE0" w:rsidP="00142611">
            <w:pPr>
              <w:numPr>
                <w:ilvl w:val="1"/>
                <w:numId w:val="2"/>
              </w:numPr>
              <w:ind w:left="108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An understanding of the United States Constitution and its application;</w:t>
            </w:r>
            <w:r w:rsidR="009F47E1">
              <w:rPr>
                <w:rFonts w:ascii="Century Gothic" w:eastAsia="Times New Roman" w:hAnsi="Century Gothic" w:cs="Times New Roman"/>
                <w:color w:val="666666"/>
                <w:sz w:val="21"/>
                <w:szCs w:val="21"/>
              </w:rPr>
              <w:t xml:space="preserve"> </w:t>
            </w:r>
          </w:p>
          <w:p w14:paraId="5F42A182" w14:textId="27826E1F" w:rsidR="00C96AE0" w:rsidRPr="00C96AE0" w:rsidRDefault="00C96AE0" w:rsidP="00142611">
            <w:pPr>
              <w:numPr>
                <w:ilvl w:val="1"/>
                <w:numId w:val="2"/>
              </w:numPr>
              <w:ind w:left="108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Knowledge of the founding documents and how they have shaped the nature and functions of our institutions of self-government; and</w:t>
            </w:r>
          </w:p>
          <w:p w14:paraId="1A3AEB78" w14:textId="77777777" w:rsidR="00C96AE0" w:rsidRPr="00C96AE0" w:rsidRDefault="00C96AE0" w:rsidP="00142611">
            <w:pPr>
              <w:numPr>
                <w:ilvl w:val="1"/>
                <w:numId w:val="2"/>
              </w:numPr>
              <w:spacing w:after="240"/>
              <w:ind w:left="1080"/>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An understanding of landmark Supreme Court cases, landmark legislation and landmark executive actions and their impact on law and society.</w:t>
            </w:r>
          </w:p>
          <w:p w14:paraId="607CF7C8" w14:textId="79160B22" w:rsidR="00915392" w:rsidRPr="00142611" w:rsidRDefault="00C96AE0" w:rsidP="00142611">
            <w:pPr>
              <w:pStyle w:val="ListParagraph"/>
              <w:numPr>
                <w:ilvl w:val="0"/>
                <w:numId w:val="2"/>
              </w:numPr>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t>Achieving the standard score on one of</w:t>
            </w:r>
            <w:r w:rsidRPr="00A85005">
              <w:rPr>
                <w:rFonts w:ascii="Century Gothic" w:eastAsia="Times New Roman" w:hAnsi="Century Gothic" w:cs="Times New Roman"/>
                <w:color w:val="666666"/>
                <w:sz w:val="21"/>
                <w:szCs w:val="21"/>
                <w:bdr w:val="none" w:sz="0" w:space="0" w:color="auto" w:frame="1"/>
              </w:rPr>
              <w:t> the following assessments</w:t>
            </w:r>
            <w:r w:rsidR="006D1AD9" w:rsidRPr="00A85005">
              <w:rPr>
                <w:rFonts w:ascii="Century Gothic" w:eastAsia="Times New Roman" w:hAnsi="Century Gothic" w:cs="Times New Roman"/>
                <w:color w:val="666666"/>
                <w:sz w:val="21"/>
                <w:szCs w:val="21"/>
                <w:bdr w:val="none" w:sz="0" w:space="0" w:color="auto" w:frame="1"/>
              </w:rPr>
              <w:t>*</w:t>
            </w:r>
          </w:p>
          <w:p w14:paraId="1B81D2AC" w14:textId="5DB5FF80" w:rsidR="00C96AE0" w:rsidRPr="00142611" w:rsidRDefault="00C96AE0" w:rsidP="00142611">
            <w:pPr>
              <w:ind w:left="108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b/>
                <w:bCs/>
                <w:color w:val="666666"/>
                <w:sz w:val="21"/>
                <w:szCs w:val="21"/>
                <w:u w:val="single"/>
                <w:bdr w:val="none" w:sz="0" w:space="0" w:color="auto" w:frame="1"/>
              </w:rPr>
              <w:t>Assessment</w:t>
            </w:r>
            <w:r w:rsidRPr="00142611">
              <w:rPr>
                <w:rFonts w:ascii="Century Gothic" w:eastAsia="Times New Roman" w:hAnsi="Century Gothic" w:cs="Times New Roman"/>
                <w:b/>
                <w:bCs/>
                <w:color w:val="666666"/>
                <w:sz w:val="21"/>
                <w:szCs w:val="21"/>
                <w:bdr w:val="none" w:sz="0" w:space="0" w:color="auto" w:frame="1"/>
              </w:rPr>
              <w:t>                                                                                         </w:t>
            </w:r>
            <w:r w:rsidRPr="00142611">
              <w:rPr>
                <w:rFonts w:ascii="Century Gothic" w:eastAsia="Times New Roman" w:hAnsi="Century Gothic" w:cs="Times New Roman"/>
                <w:b/>
                <w:bCs/>
                <w:color w:val="666666"/>
                <w:sz w:val="21"/>
                <w:szCs w:val="21"/>
                <w:u w:val="single"/>
                <w:bdr w:val="none" w:sz="0" w:space="0" w:color="auto" w:frame="1"/>
              </w:rPr>
              <w:t>Score</w:t>
            </w:r>
          </w:p>
          <w:p w14:paraId="5E7BD7BD" w14:textId="3908E411" w:rsidR="00C96AE0" w:rsidRPr="00142611" w:rsidRDefault="00C96AE0" w:rsidP="00142611">
            <w:pPr>
              <w:pStyle w:val="ListParagraph"/>
              <w:numPr>
                <w:ilvl w:val="0"/>
                <w:numId w:val="7"/>
              </w:numPr>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t>AP Government and Politics: United States                               </w:t>
            </w:r>
            <w:r w:rsidR="00915392">
              <w:rPr>
                <w:rFonts w:ascii="Century Gothic" w:eastAsia="Times New Roman" w:hAnsi="Century Gothic" w:cs="Times New Roman"/>
                <w:color w:val="666666"/>
                <w:sz w:val="21"/>
                <w:szCs w:val="21"/>
              </w:rPr>
              <w:t xml:space="preserve">  </w:t>
            </w:r>
            <w:r w:rsidRPr="00142611">
              <w:rPr>
                <w:rFonts w:ascii="Century Gothic" w:eastAsia="Times New Roman" w:hAnsi="Century Gothic" w:cs="Times New Roman"/>
                <w:color w:val="666666"/>
                <w:sz w:val="21"/>
                <w:szCs w:val="21"/>
              </w:rPr>
              <w:t>3</w:t>
            </w:r>
          </w:p>
          <w:p w14:paraId="501063E5" w14:textId="5492B33C" w:rsidR="00C96AE0" w:rsidRPr="00142611" w:rsidRDefault="00C96AE0" w:rsidP="00142611">
            <w:pPr>
              <w:pStyle w:val="ListParagraph"/>
              <w:numPr>
                <w:ilvl w:val="0"/>
                <w:numId w:val="7"/>
              </w:numPr>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t>AP United States History                                                                  4</w:t>
            </w:r>
          </w:p>
          <w:p w14:paraId="1FD53A29" w14:textId="5C22CEE8" w:rsidR="00C96AE0" w:rsidRDefault="00C96AE0" w:rsidP="00142611">
            <w:pPr>
              <w:pStyle w:val="ListParagraph"/>
              <w:numPr>
                <w:ilvl w:val="0"/>
                <w:numId w:val="7"/>
              </w:numPr>
              <w:contextualSpacing w:val="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rPr>
              <w:t>CLEP: American Government                                                      50</w:t>
            </w:r>
          </w:p>
          <w:p w14:paraId="2C7AFB00" w14:textId="24F37790" w:rsidR="00915392" w:rsidRPr="00142611" w:rsidRDefault="00915392" w:rsidP="00142611">
            <w:pPr>
              <w:pStyle w:val="ListParagraph"/>
              <w:numPr>
                <w:ilvl w:val="0"/>
                <w:numId w:val="7"/>
              </w:numPr>
              <w:contextualSpacing w:val="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t>Florida Civic Literacy Exam                                                          60%</w:t>
            </w:r>
          </w:p>
          <w:p w14:paraId="13C1F88B" w14:textId="0144272C" w:rsidR="006D1AD9" w:rsidRPr="00C96AE0" w:rsidRDefault="00915392" w:rsidP="00142611">
            <w:pPr>
              <w:spacing w:after="240"/>
              <w:ind w:left="72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t>*Credits earned in articulated acceleration mechanisms in s. 1007.27 will count toward the civic literacy requirement.</w:t>
            </w:r>
          </w:p>
          <w:p w14:paraId="09074698" w14:textId="3E687C37" w:rsidR="00915392" w:rsidRPr="00142611" w:rsidRDefault="00915392" w:rsidP="00142611">
            <w:pPr>
              <w:spacing w:before="150" w:after="240"/>
              <w:ind w:left="720"/>
              <w:textAlignment w:val="baseline"/>
              <w:rPr>
                <w:rFonts w:ascii="Century Gothic" w:eastAsia="Times New Roman" w:hAnsi="Century Gothic" w:cs="Times New Roman"/>
                <w:i/>
                <w:iCs/>
                <w:color w:val="666666"/>
                <w:sz w:val="21"/>
                <w:szCs w:val="21"/>
              </w:rPr>
            </w:pPr>
            <w:r w:rsidRPr="00142611">
              <w:rPr>
                <w:rFonts w:ascii="Century Gothic" w:eastAsia="Times New Roman" w:hAnsi="Century Gothic" w:cs="Times New Roman"/>
                <w:i/>
                <w:iCs/>
                <w:color w:val="666666"/>
                <w:sz w:val="21"/>
                <w:szCs w:val="21"/>
              </w:rPr>
              <w:t>Students should check with their Student Success Advisor for additional information, or if they are unsure whether they have already met these requirements.</w:t>
            </w:r>
          </w:p>
          <w:p w14:paraId="6ED55DF2" w14:textId="37684868" w:rsidR="00C96AE0" w:rsidRPr="00C96AE0" w:rsidRDefault="00C96AE0" w:rsidP="00142611">
            <w:pPr>
              <w:spacing w:after="240"/>
              <w:ind w:left="720"/>
              <w:textAlignment w:val="baseline"/>
              <w:rPr>
                <w:rFonts w:ascii="Century Gothic" w:eastAsia="Times New Roman" w:hAnsi="Century Gothic" w:cs="Times New Roman"/>
                <w:color w:val="666666"/>
                <w:sz w:val="21"/>
                <w:szCs w:val="21"/>
              </w:rPr>
            </w:pPr>
            <w:r w:rsidRPr="00142611">
              <w:rPr>
                <w:rFonts w:ascii="Century Gothic" w:eastAsia="Times New Roman" w:hAnsi="Century Gothic" w:cs="Times New Roman"/>
                <w:color w:val="666666"/>
                <w:sz w:val="21"/>
                <w:szCs w:val="21"/>
                <w:bdr w:val="none" w:sz="0" w:space="0" w:color="auto" w:frame="1"/>
              </w:rPr>
              <w:t>Rulemaking Authority 1001.02(1), 1007.25(4) FS. Law Implemented 1007.25 FS. History-New 6-19-18</w:t>
            </w:r>
            <w:r w:rsidR="00915392">
              <w:rPr>
                <w:rFonts w:ascii="Century Gothic" w:eastAsia="Times New Roman" w:hAnsi="Century Gothic" w:cs="Times New Roman"/>
                <w:color w:val="666666"/>
                <w:sz w:val="21"/>
                <w:szCs w:val="21"/>
              </w:rPr>
              <w:t>. Amended 11-23-21.</w:t>
            </w:r>
            <w:r w:rsidRPr="00915392">
              <w:rPr>
                <w:rFonts w:ascii="Century Gothic" w:eastAsia="Times New Roman" w:hAnsi="Century Gothic" w:cs="Times New Roman"/>
                <w:color w:val="666666"/>
                <w:sz w:val="21"/>
                <w:szCs w:val="21"/>
              </w:rPr>
              <w:t> </w:t>
            </w:r>
          </w:p>
          <w:p w14:paraId="7BEF3F55" w14:textId="77777777" w:rsidR="00C96AE0" w:rsidRPr="00C96AE0" w:rsidRDefault="00C96AE0" w:rsidP="00C96AE0">
            <w:pPr>
              <w:spacing w:after="0"/>
              <w:textAlignment w:val="baseline"/>
              <w:rPr>
                <w:rFonts w:ascii="Century Gothic" w:eastAsia="Times New Roman" w:hAnsi="Century Gothic" w:cs="Times New Roman"/>
                <w:color w:val="666666"/>
                <w:sz w:val="21"/>
                <w:szCs w:val="21"/>
              </w:rPr>
            </w:pPr>
          </w:p>
          <w:p w14:paraId="39553432" w14:textId="77777777" w:rsidR="00C96AE0" w:rsidRPr="00C96AE0" w:rsidRDefault="00C96AE0" w:rsidP="00C96AE0">
            <w:pPr>
              <w:spacing w:after="0"/>
              <w:textAlignment w:val="baseline"/>
              <w:outlineLvl w:val="1"/>
              <w:rPr>
                <w:rFonts w:ascii="Century Gothic" w:eastAsia="Times New Roman" w:hAnsi="Century Gothic" w:cs="Times New Roman"/>
                <w:b/>
                <w:bCs/>
                <w:color w:val="734E8E"/>
                <w:sz w:val="30"/>
                <w:szCs w:val="30"/>
              </w:rPr>
            </w:pPr>
            <w:bookmarkStart w:id="3" w:name="WritingIntensiveRequirement"/>
            <w:bookmarkStart w:id="4" w:name="_Hlk97716484"/>
            <w:bookmarkEnd w:id="3"/>
            <w:r w:rsidRPr="00C96AE0">
              <w:rPr>
                <w:rFonts w:ascii="Century Gothic" w:eastAsia="Times New Roman" w:hAnsi="Century Gothic" w:cs="Times New Roman"/>
                <w:b/>
                <w:bCs/>
                <w:color w:val="734E8E"/>
                <w:sz w:val="30"/>
                <w:szCs w:val="30"/>
              </w:rPr>
              <w:t>Writing Intensive Requirement:</w:t>
            </w:r>
          </w:p>
          <w:p w14:paraId="14C03E07" w14:textId="77777777" w:rsidR="00C96AE0" w:rsidRPr="00C96AE0" w:rsidRDefault="00A85005" w:rsidP="00C96AE0">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1A52CD3F">
                <v:rect id="_x0000_i1029" style="width:0;height:0" o:hralign="center" o:hrstd="t" o:hr="t" fillcolor="#a0a0a0" stroked="f"/>
              </w:pict>
            </w:r>
          </w:p>
          <w:p w14:paraId="67831179" w14:textId="5B9140A8" w:rsidR="00D72646" w:rsidRPr="00C96AE0" w:rsidRDefault="00D72646" w:rsidP="00142611">
            <w:pPr>
              <w:spacing w:after="24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t>According to the Florida Administrative Code Rule 6A-10.030(2)(a), each student must successfully complete 12 semester hours of coursework demonstrating college level</w:t>
            </w:r>
            <w:r w:rsidRPr="00C96AE0">
              <w:rPr>
                <w:rFonts w:ascii="Century Gothic" w:eastAsia="Times New Roman" w:hAnsi="Century Gothic" w:cs="Times New Roman"/>
                <w:color w:val="666666"/>
                <w:sz w:val="21"/>
                <w:szCs w:val="21"/>
              </w:rPr>
              <w:t xml:space="preserve"> writing skills with a grade of "C" or better.  Six (6) credits must be taken in English Composition and Communication, and six (6) credits in the Social Sciences and/or Humanities.</w:t>
            </w:r>
          </w:p>
          <w:p w14:paraId="2E18608B" w14:textId="36ADE616" w:rsidR="00C96AE0" w:rsidRPr="00C96AE0" w:rsidRDefault="00C96AE0" w:rsidP="00C91EB2">
            <w:p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 xml:space="preserve">The following courses satisfy the writing requirement of 4,000 words each. </w:t>
            </w:r>
          </w:p>
          <w:p w14:paraId="783C91B4"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17" w:history="1">
              <w:r w:rsidR="00C96AE0" w:rsidRPr="00C96AE0">
                <w:rPr>
                  <w:rFonts w:ascii="Century Gothic" w:eastAsia="Times New Roman" w:hAnsi="Century Gothic" w:cs="Times New Roman"/>
                  <w:color w:val="41A5A3"/>
                  <w:sz w:val="21"/>
                  <w:szCs w:val="21"/>
                  <w:bdr w:val="none" w:sz="0" w:space="0" w:color="auto" w:frame="1"/>
                </w:rPr>
                <w:t>AMH 2070 - Florida History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46AEA518"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18" w:history="1">
              <w:r w:rsidR="00C96AE0" w:rsidRPr="00C96AE0">
                <w:rPr>
                  <w:rFonts w:ascii="Century Gothic" w:eastAsia="Times New Roman" w:hAnsi="Century Gothic" w:cs="Times New Roman"/>
                  <w:color w:val="41A5A3"/>
                  <w:sz w:val="21"/>
                  <w:szCs w:val="21"/>
                  <w:bdr w:val="none" w:sz="0" w:space="0" w:color="auto" w:frame="1"/>
                </w:rPr>
                <w:t>AML 2010 - Literature of the United States I, to 1860</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3500698E"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19" w:history="1">
              <w:r w:rsidR="00C96AE0" w:rsidRPr="00C96AE0">
                <w:rPr>
                  <w:rFonts w:ascii="Century Gothic" w:eastAsia="Times New Roman" w:hAnsi="Century Gothic" w:cs="Times New Roman"/>
                  <w:color w:val="41A5A3"/>
                  <w:sz w:val="21"/>
                  <w:szCs w:val="21"/>
                  <w:bdr w:val="none" w:sz="0" w:space="0" w:color="auto" w:frame="1"/>
                </w:rPr>
                <w:t>AML 2020 - Literature of the United States II, 1860 to Present</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6BDE2C46"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0" w:history="1">
              <w:r w:rsidR="00C96AE0" w:rsidRPr="00C96AE0">
                <w:rPr>
                  <w:rFonts w:ascii="Century Gothic" w:eastAsia="Times New Roman" w:hAnsi="Century Gothic" w:cs="Times New Roman"/>
                  <w:color w:val="41A5A3"/>
                  <w:sz w:val="21"/>
                  <w:szCs w:val="21"/>
                  <w:bdr w:val="none" w:sz="0" w:space="0" w:color="auto" w:frame="1"/>
                </w:rPr>
                <w:t>AML 2600 - Introduction to African American Literature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45556267"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1" w:history="1">
              <w:r w:rsidR="00C96AE0" w:rsidRPr="00C96AE0">
                <w:rPr>
                  <w:rFonts w:ascii="Century Gothic" w:eastAsia="Times New Roman" w:hAnsi="Century Gothic" w:cs="Times New Roman"/>
                  <w:color w:val="41A5A3"/>
                  <w:sz w:val="21"/>
                  <w:szCs w:val="21"/>
                  <w:bdr w:val="none" w:sz="0" w:space="0" w:color="auto" w:frame="1"/>
                </w:rPr>
                <w:t>ENC 1101 - Composition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77ACF5B0"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2" w:history="1">
              <w:r w:rsidR="00C96AE0" w:rsidRPr="00C96AE0">
                <w:rPr>
                  <w:rFonts w:ascii="Century Gothic" w:eastAsia="Times New Roman" w:hAnsi="Century Gothic" w:cs="Times New Roman"/>
                  <w:color w:val="41A5A3"/>
                  <w:sz w:val="21"/>
                  <w:szCs w:val="21"/>
                  <w:bdr w:val="none" w:sz="0" w:space="0" w:color="auto" w:frame="1"/>
                </w:rPr>
                <w:t>ENC 1102 - Composition II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415A4CD6"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3" w:history="1">
              <w:r w:rsidR="00C96AE0" w:rsidRPr="00C96AE0">
                <w:rPr>
                  <w:rFonts w:ascii="Century Gothic" w:eastAsia="Times New Roman" w:hAnsi="Century Gothic" w:cs="Times New Roman"/>
                  <w:color w:val="41A5A3"/>
                  <w:sz w:val="21"/>
                  <w:szCs w:val="21"/>
                  <w:bdr w:val="none" w:sz="0" w:space="0" w:color="auto" w:frame="1"/>
                </w:rPr>
                <w:t>ENL 2012 - British Literature and Culture I, to 1780 -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404276CC"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4" w:history="1">
              <w:r w:rsidR="00C96AE0" w:rsidRPr="00C96AE0">
                <w:rPr>
                  <w:rFonts w:ascii="Century Gothic" w:eastAsia="Times New Roman" w:hAnsi="Century Gothic" w:cs="Times New Roman"/>
                  <w:color w:val="41A5A3"/>
                  <w:sz w:val="21"/>
                  <w:szCs w:val="21"/>
                  <w:bdr w:val="none" w:sz="0" w:space="0" w:color="auto" w:frame="1"/>
                </w:rPr>
                <w:t>ENL 2022 - British Literature and Culture II, 1780 to Present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50D44DC5"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5" w:history="1">
              <w:r w:rsidR="00C96AE0" w:rsidRPr="00C96AE0">
                <w:rPr>
                  <w:rFonts w:ascii="Century Gothic" w:eastAsia="Times New Roman" w:hAnsi="Century Gothic" w:cs="Times New Roman"/>
                  <w:color w:val="41A5A3"/>
                  <w:sz w:val="21"/>
                  <w:szCs w:val="21"/>
                  <w:bdr w:val="none" w:sz="0" w:space="0" w:color="auto" w:frame="1"/>
                </w:rPr>
                <w:t>ENL 2330 - Introduction to Shakespeare for Non-Majors</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6A6F1C17"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6" w:history="1">
              <w:r w:rsidR="00C96AE0" w:rsidRPr="00C96AE0">
                <w:rPr>
                  <w:rFonts w:ascii="Century Gothic" w:eastAsia="Times New Roman" w:hAnsi="Century Gothic" w:cs="Times New Roman"/>
                  <w:color w:val="41A5A3"/>
                  <w:sz w:val="21"/>
                  <w:szCs w:val="21"/>
                  <w:bdr w:val="none" w:sz="0" w:space="0" w:color="auto" w:frame="1"/>
                </w:rPr>
                <w:t>HUM 2020 - Introduction to Humanities</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43957FB0"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7" w:history="1">
              <w:r w:rsidR="00C96AE0" w:rsidRPr="00C96AE0">
                <w:rPr>
                  <w:rFonts w:ascii="Century Gothic" w:eastAsia="Times New Roman" w:hAnsi="Century Gothic" w:cs="Times New Roman"/>
                  <w:color w:val="41A5A3"/>
                  <w:sz w:val="21"/>
                  <w:szCs w:val="21"/>
                  <w:bdr w:val="none" w:sz="0" w:space="0" w:color="auto" w:frame="1"/>
                </w:rPr>
                <w:t>HUM 2211 - Studies in Humanities: The Ancient World through the Medieval Period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59505AE7"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28" w:history="1">
              <w:r w:rsidR="00C96AE0" w:rsidRPr="00C96AE0">
                <w:rPr>
                  <w:rFonts w:ascii="Century Gothic" w:eastAsia="Times New Roman" w:hAnsi="Century Gothic" w:cs="Times New Roman"/>
                  <w:color w:val="41A5A3"/>
                  <w:sz w:val="21"/>
                  <w:szCs w:val="21"/>
                  <w:bdr w:val="none" w:sz="0" w:space="0" w:color="auto" w:frame="1"/>
                </w:rPr>
                <w:t>HUM 2235 - Studies in Humanities: The Renaissance through the Age of Reason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7ABC3332" w14:textId="492A7F35" w:rsidR="00C96AE0" w:rsidRPr="00142611" w:rsidRDefault="00A85005" w:rsidP="00C96AE0">
            <w:pPr>
              <w:numPr>
                <w:ilvl w:val="0"/>
                <w:numId w:val="3"/>
              </w:numPr>
              <w:textAlignment w:val="baseline"/>
              <w:rPr>
                <w:rFonts w:ascii="Century Gothic" w:eastAsia="Times New Roman" w:hAnsi="Century Gothic" w:cs="Times New Roman"/>
                <w:color w:val="666666"/>
                <w:sz w:val="21"/>
                <w:szCs w:val="21"/>
              </w:rPr>
            </w:pPr>
            <w:hyperlink r:id="rId29" w:history="1">
              <w:r w:rsidR="00C96AE0" w:rsidRPr="00C96AE0">
                <w:rPr>
                  <w:rFonts w:ascii="Century Gothic" w:eastAsia="Times New Roman" w:hAnsi="Century Gothic" w:cs="Times New Roman"/>
                  <w:color w:val="41A5A3"/>
                  <w:sz w:val="21"/>
                  <w:szCs w:val="21"/>
                  <w:bdr w:val="none" w:sz="0" w:space="0" w:color="auto" w:frame="1"/>
                </w:rPr>
                <w:t>HUM 2250 - Studies in Humanities: The Romantic Era to the Present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2104F8DB"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30" w:history="1">
              <w:r w:rsidR="00C96AE0" w:rsidRPr="00C96AE0">
                <w:rPr>
                  <w:rFonts w:ascii="Century Gothic" w:eastAsia="Times New Roman" w:hAnsi="Century Gothic" w:cs="Times New Roman"/>
                  <w:color w:val="41A5A3"/>
                  <w:sz w:val="21"/>
                  <w:szCs w:val="21"/>
                  <w:bdr w:val="none" w:sz="0" w:space="0" w:color="auto" w:frame="1"/>
                </w:rPr>
                <w:t>HUM 2510 - Studies in Humanities: Humanities through the Arts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56CBAE6B"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31" w:history="1">
              <w:r w:rsidR="00C96AE0" w:rsidRPr="00C96AE0">
                <w:rPr>
                  <w:rFonts w:ascii="Century Gothic" w:eastAsia="Times New Roman" w:hAnsi="Century Gothic" w:cs="Times New Roman"/>
                  <w:color w:val="41A5A3"/>
                  <w:sz w:val="21"/>
                  <w:szCs w:val="21"/>
                  <w:bdr w:val="none" w:sz="0" w:space="0" w:color="auto" w:frame="1"/>
                </w:rPr>
                <w:t>HUM 2930 - Studies in Humanities: Great Human Questions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15297494" w14:textId="77777777" w:rsidR="00C96AE0" w:rsidRPr="00142611" w:rsidRDefault="00A85005" w:rsidP="00142611">
            <w:pPr>
              <w:numPr>
                <w:ilvl w:val="0"/>
                <w:numId w:val="3"/>
              </w:numPr>
              <w:textAlignment w:val="baseline"/>
              <w:rPr>
                <w:rFonts w:ascii="Century Gothic" w:eastAsia="Times New Roman" w:hAnsi="Century Gothic" w:cs="Times New Roman"/>
                <w:color w:val="666666"/>
                <w:sz w:val="21"/>
                <w:szCs w:val="21"/>
              </w:rPr>
            </w:pPr>
            <w:hyperlink r:id="rId32" w:history="1">
              <w:r w:rsidR="00C96AE0" w:rsidRPr="00142611">
                <w:rPr>
                  <w:rFonts w:ascii="Century Gothic" w:eastAsia="Times New Roman" w:hAnsi="Century Gothic" w:cs="Times New Roman"/>
                  <w:color w:val="41A5A3"/>
                  <w:sz w:val="21"/>
                  <w:szCs w:val="21"/>
                  <w:bdr w:val="none" w:sz="0" w:space="0" w:color="auto" w:frame="1"/>
                </w:rPr>
                <w:t>IDS 2930 - Special Topics in Arts and Sciences - (I)</w:t>
              </w:r>
            </w:hyperlink>
            <w:r w:rsidR="00C96AE0" w:rsidRPr="00142611">
              <w:rPr>
                <w:rFonts w:ascii="Century Gothic" w:eastAsia="Times New Roman" w:hAnsi="Century Gothic" w:cs="Times New Roman"/>
                <w:color w:val="666666"/>
                <w:sz w:val="21"/>
                <w:szCs w:val="21"/>
                <w:bdr w:val="none" w:sz="0" w:space="0" w:color="auto" w:frame="1"/>
              </w:rPr>
              <w:t> </w:t>
            </w:r>
            <w:r w:rsidR="00C96AE0" w:rsidRPr="00142611">
              <w:rPr>
                <w:rFonts w:ascii="Century Gothic" w:eastAsia="Times New Roman" w:hAnsi="Century Gothic" w:cs="Times New Roman"/>
                <w:b/>
                <w:bCs/>
                <w:color w:val="666666"/>
                <w:sz w:val="21"/>
                <w:szCs w:val="21"/>
                <w:bdr w:val="none" w:sz="0" w:space="0" w:color="auto" w:frame="1"/>
              </w:rPr>
              <w:t>3 credits</w:t>
            </w:r>
          </w:p>
          <w:p w14:paraId="726A03D1"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33" w:history="1">
              <w:r w:rsidR="00C96AE0" w:rsidRPr="00C96AE0">
                <w:rPr>
                  <w:rFonts w:ascii="Century Gothic" w:eastAsia="Times New Roman" w:hAnsi="Century Gothic" w:cs="Times New Roman"/>
                  <w:color w:val="41A5A3"/>
                  <w:sz w:val="21"/>
                  <w:szCs w:val="21"/>
                  <w:bdr w:val="none" w:sz="0" w:space="0" w:color="auto" w:frame="1"/>
                </w:rPr>
                <w:t>LAS 2140 - Arts &amp; Cultures of Latin America &amp; the Caribbean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68214FA6"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34" w:history="1">
              <w:r w:rsidR="00C96AE0" w:rsidRPr="00C96AE0">
                <w:rPr>
                  <w:rFonts w:ascii="Century Gothic" w:eastAsia="Times New Roman" w:hAnsi="Century Gothic" w:cs="Times New Roman"/>
                  <w:color w:val="41A5A3"/>
                  <w:sz w:val="21"/>
                  <w:szCs w:val="21"/>
                  <w:bdr w:val="none" w:sz="0" w:space="0" w:color="auto" w:frame="1"/>
                </w:rPr>
                <w:t>LIT 2000 - Introduction to Literature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61CAB1D4" w14:textId="4DCC05EF" w:rsidR="00C96AE0" w:rsidRPr="00142611" w:rsidRDefault="00A85005" w:rsidP="00142611">
            <w:pPr>
              <w:numPr>
                <w:ilvl w:val="0"/>
                <w:numId w:val="3"/>
              </w:numPr>
              <w:textAlignment w:val="baseline"/>
              <w:rPr>
                <w:rFonts w:ascii="Century Gothic" w:eastAsia="Times New Roman" w:hAnsi="Century Gothic" w:cs="Times New Roman"/>
                <w:color w:val="666666"/>
                <w:sz w:val="21"/>
                <w:szCs w:val="21"/>
              </w:rPr>
            </w:pPr>
            <w:hyperlink r:id="rId35" w:history="1">
              <w:r w:rsidR="00C96AE0" w:rsidRPr="00142611">
                <w:rPr>
                  <w:rFonts w:ascii="Century Gothic" w:eastAsia="Times New Roman" w:hAnsi="Century Gothic" w:cs="Times New Roman"/>
                  <w:color w:val="41A5A3"/>
                  <w:sz w:val="21"/>
                  <w:szCs w:val="21"/>
                  <w:bdr w:val="none" w:sz="0" w:space="0" w:color="auto" w:frame="1"/>
                </w:rPr>
                <w:t>LIT 2380 - Introduction to Women in Literature - (I)</w:t>
              </w:r>
            </w:hyperlink>
            <w:r w:rsidR="00C96AE0" w:rsidRPr="00142611">
              <w:rPr>
                <w:rFonts w:ascii="Century Gothic" w:eastAsia="Times New Roman" w:hAnsi="Century Gothic" w:cs="Times New Roman"/>
                <w:color w:val="666666"/>
                <w:sz w:val="21"/>
                <w:szCs w:val="21"/>
                <w:bdr w:val="none" w:sz="0" w:space="0" w:color="auto" w:frame="1"/>
              </w:rPr>
              <w:t> </w:t>
            </w:r>
            <w:r w:rsidR="00C96AE0" w:rsidRPr="00142611">
              <w:rPr>
                <w:rFonts w:ascii="Century Gothic" w:eastAsia="Times New Roman" w:hAnsi="Century Gothic" w:cs="Times New Roman"/>
                <w:b/>
                <w:bCs/>
                <w:color w:val="666666"/>
                <w:sz w:val="21"/>
                <w:szCs w:val="21"/>
                <w:bdr w:val="none" w:sz="0" w:space="0" w:color="auto" w:frame="1"/>
              </w:rPr>
              <w:t>3 credits</w:t>
            </w:r>
          </w:p>
          <w:p w14:paraId="270C92F8" w14:textId="7F6F0B90" w:rsidR="00142611" w:rsidRPr="00C96AE0" w:rsidRDefault="00142611" w:rsidP="00C96AE0">
            <w:pPr>
              <w:numPr>
                <w:ilvl w:val="0"/>
                <w:numId w:val="3"/>
              </w:numPr>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t xml:space="preserve">LIT 2930 Special Topics in Literature – (I) </w:t>
            </w:r>
            <w:r w:rsidRPr="00142611">
              <w:rPr>
                <w:rFonts w:ascii="Century Gothic" w:eastAsia="Times New Roman" w:hAnsi="Century Gothic" w:cs="Times New Roman"/>
                <w:b/>
                <w:bCs/>
                <w:color w:val="666666"/>
                <w:sz w:val="21"/>
                <w:szCs w:val="21"/>
              </w:rPr>
              <w:t>3 credits</w:t>
            </w:r>
          </w:p>
          <w:p w14:paraId="3814F632"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36" w:history="1">
              <w:r w:rsidR="00C96AE0" w:rsidRPr="00C96AE0">
                <w:rPr>
                  <w:rFonts w:ascii="Century Gothic" w:eastAsia="Times New Roman" w:hAnsi="Century Gothic" w:cs="Times New Roman"/>
                  <w:color w:val="41A5A3"/>
                  <w:sz w:val="21"/>
                  <w:szCs w:val="21"/>
                  <w:bdr w:val="none" w:sz="0" w:space="0" w:color="auto" w:frame="1"/>
                </w:rPr>
                <w:t>WOH 1012 - History of World Civilization to 1500 -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1735B063" w14:textId="77777777"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37" w:history="1">
              <w:r w:rsidR="00C96AE0" w:rsidRPr="00C96AE0">
                <w:rPr>
                  <w:rFonts w:ascii="Century Gothic" w:eastAsia="Times New Roman" w:hAnsi="Century Gothic" w:cs="Times New Roman"/>
                  <w:color w:val="41A5A3"/>
                  <w:sz w:val="21"/>
                  <w:szCs w:val="21"/>
                  <w:bdr w:val="none" w:sz="0" w:space="0" w:color="auto" w:frame="1"/>
                </w:rPr>
                <w:t>WOH 1023 - History of World Civilization 1500 to 1815 -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p w14:paraId="01BC7FBD" w14:textId="47C2C38A" w:rsidR="00C96AE0" w:rsidRPr="00C96AE0" w:rsidRDefault="00A85005" w:rsidP="00C96AE0">
            <w:pPr>
              <w:numPr>
                <w:ilvl w:val="0"/>
                <w:numId w:val="3"/>
              </w:numPr>
              <w:textAlignment w:val="baseline"/>
              <w:rPr>
                <w:rFonts w:ascii="Century Gothic" w:eastAsia="Times New Roman" w:hAnsi="Century Gothic" w:cs="Times New Roman"/>
                <w:color w:val="666666"/>
                <w:sz w:val="21"/>
                <w:szCs w:val="21"/>
              </w:rPr>
            </w:pPr>
            <w:hyperlink r:id="rId38" w:history="1">
              <w:r w:rsidR="00C96AE0" w:rsidRPr="00C96AE0">
                <w:rPr>
                  <w:rFonts w:ascii="Century Gothic" w:eastAsia="Times New Roman" w:hAnsi="Century Gothic" w:cs="Times New Roman"/>
                  <w:color w:val="41A5A3"/>
                  <w:sz w:val="21"/>
                  <w:szCs w:val="21"/>
                  <w:bdr w:val="none" w:sz="0" w:space="0" w:color="auto" w:frame="1"/>
                </w:rPr>
                <w:t>WOH 1030 - History of World Civilization 1815 to Present - (I)</w:t>
              </w:r>
            </w:hyperlink>
            <w:r w:rsidR="00C96AE0" w:rsidRPr="00C96AE0">
              <w:rPr>
                <w:rFonts w:ascii="Century Gothic" w:eastAsia="Times New Roman" w:hAnsi="Century Gothic" w:cs="Times New Roman"/>
                <w:color w:val="666666"/>
                <w:sz w:val="21"/>
                <w:szCs w:val="21"/>
                <w:bdr w:val="none" w:sz="0" w:space="0" w:color="auto" w:frame="1"/>
              </w:rPr>
              <w:t> </w:t>
            </w:r>
            <w:r w:rsidR="00C96AE0" w:rsidRPr="00C96AE0">
              <w:rPr>
                <w:rFonts w:ascii="Century Gothic" w:eastAsia="Times New Roman" w:hAnsi="Century Gothic" w:cs="Times New Roman"/>
                <w:b/>
                <w:bCs/>
                <w:color w:val="666666"/>
                <w:sz w:val="21"/>
                <w:szCs w:val="21"/>
                <w:bdr w:val="none" w:sz="0" w:space="0" w:color="auto" w:frame="1"/>
              </w:rPr>
              <w:t>3 credits</w:t>
            </w:r>
          </w:p>
          <w:bookmarkEnd w:id="4"/>
          <w:p w14:paraId="15D45A08" w14:textId="77777777" w:rsidR="00C96AE0" w:rsidRPr="00C96AE0" w:rsidRDefault="00C96AE0" w:rsidP="00C96AE0">
            <w:pPr>
              <w:spacing w:after="0"/>
              <w:ind w:left="720"/>
              <w:textAlignment w:val="baseline"/>
              <w:rPr>
                <w:rFonts w:ascii="Century Gothic" w:eastAsia="Times New Roman" w:hAnsi="Century Gothic" w:cs="Times New Roman"/>
                <w:color w:val="666666"/>
                <w:sz w:val="21"/>
                <w:szCs w:val="21"/>
              </w:rPr>
            </w:pPr>
          </w:p>
          <w:p w14:paraId="377D2ADC" w14:textId="77777777" w:rsidR="00C96AE0" w:rsidRPr="00C96AE0" w:rsidRDefault="00C96AE0" w:rsidP="00C96AE0">
            <w:pPr>
              <w:spacing w:after="0"/>
              <w:textAlignment w:val="baseline"/>
              <w:outlineLvl w:val="1"/>
              <w:rPr>
                <w:rFonts w:ascii="Century Gothic" w:eastAsia="Times New Roman" w:hAnsi="Century Gothic" w:cs="Times New Roman"/>
                <w:b/>
                <w:bCs/>
                <w:color w:val="734E8E"/>
                <w:sz w:val="30"/>
                <w:szCs w:val="30"/>
              </w:rPr>
            </w:pPr>
            <w:bookmarkStart w:id="5" w:name="PreviouslyEarnedAssociateInArtsOrBaccala"/>
            <w:bookmarkEnd w:id="5"/>
            <w:r w:rsidRPr="00C96AE0">
              <w:rPr>
                <w:rFonts w:ascii="Century Gothic" w:eastAsia="Times New Roman" w:hAnsi="Century Gothic" w:cs="Times New Roman"/>
                <w:b/>
                <w:bCs/>
                <w:color w:val="734E8E"/>
                <w:sz w:val="30"/>
                <w:szCs w:val="30"/>
              </w:rPr>
              <w:t>Previously Earned Associate in Arts or Baccalaureate Degrees</w:t>
            </w:r>
          </w:p>
          <w:p w14:paraId="57E2126A" w14:textId="77777777" w:rsidR="00C96AE0" w:rsidRPr="00C96AE0" w:rsidRDefault="00A85005" w:rsidP="00C96AE0">
            <w:pPr>
              <w:spacing w:after="0"/>
              <w:textAlignment w:val="baseline"/>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75989C63">
                <v:rect id="_x0000_i1030" style="width:0;height:0" o:hralign="center" o:hrstd="t" o:hr="t" fillcolor="#a0a0a0" stroked="f"/>
              </w:pict>
            </w:r>
          </w:p>
          <w:p w14:paraId="16E94AD8" w14:textId="00965558" w:rsidR="00C96AE0" w:rsidRPr="00C96AE0" w:rsidRDefault="00C96AE0" w:rsidP="00C96AE0">
            <w:pPr>
              <w:numPr>
                <w:ilvl w:val="0"/>
                <w:numId w:val="4"/>
              </w:num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 xml:space="preserve">Students who have previously earned an Associate in Arts or a Baccalaureate degree from a Florida College System or a Florida State University System institution are considered to have met the General Education Requirements of a Florida </w:t>
            </w:r>
            <w:proofErr w:type="spellStart"/>
            <w:r w:rsidRPr="00C96AE0">
              <w:rPr>
                <w:rFonts w:ascii="Century Gothic" w:eastAsia="Times New Roman" w:hAnsi="Century Gothic" w:cs="Times New Roman"/>
                <w:color w:val="666666"/>
                <w:sz w:val="21"/>
                <w:szCs w:val="21"/>
              </w:rPr>
              <w:t>SouthWestern</w:t>
            </w:r>
            <w:proofErr w:type="spellEnd"/>
            <w:r w:rsidRPr="00C96AE0">
              <w:rPr>
                <w:rFonts w:ascii="Century Gothic" w:eastAsia="Times New Roman" w:hAnsi="Century Gothic" w:cs="Times New Roman"/>
                <w:color w:val="666666"/>
                <w:sz w:val="21"/>
                <w:szCs w:val="21"/>
              </w:rPr>
              <w:t xml:space="preserve"> State College baccalaureate degree.</w:t>
            </w:r>
          </w:p>
          <w:p w14:paraId="0EE90E3F" w14:textId="3B7B7812" w:rsidR="00C96AE0" w:rsidRPr="00C96AE0" w:rsidRDefault="00C96AE0" w:rsidP="00C96AE0">
            <w:pPr>
              <w:numPr>
                <w:ilvl w:val="0"/>
                <w:numId w:val="4"/>
              </w:numPr>
              <w:textAlignment w:val="baseline"/>
              <w:rPr>
                <w:rFonts w:ascii="Century Gothic" w:eastAsia="Times New Roman" w:hAnsi="Century Gothic" w:cs="Times New Roman"/>
                <w:color w:val="666666"/>
                <w:sz w:val="21"/>
                <w:szCs w:val="21"/>
              </w:rPr>
            </w:pPr>
            <w:r w:rsidRPr="00C96AE0">
              <w:rPr>
                <w:rFonts w:ascii="Century Gothic" w:eastAsia="Times New Roman" w:hAnsi="Century Gothic" w:cs="Times New Roman"/>
                <w:color w:val="666666"/>
                <w:sz w:val="21"/>
                <w:szCs w:val="21"/>
              </w:rPr>
              <w:t>Students who have previously earned an Associate in Arts or a Baccalaureate degree from a college or university outside the State of Florida will be reviewed on a case-by-case basis to determine which courses will meet the 36</w:t>
            </w:r>
            <w:r w:rsidR="00D72646">
              <w:rPr>
                <w:rFonts w:ascii="Century Gothic" w:eastAsia="Times New Roman" w:hAnsi="Century Gothic" w:cs="Times New Roman"/>
                <w:color w:val="666666"/>
                <w:sz w:val="21"/>
                <w:szCs w:val="21"/>
              </w:rPr>
              <w:t>-</w:t>
            </w:r>
            <w:r w:rsidRPr="00C96AE0">
              <w:rPr>
                <w:rFonts w:ascii="Century Gothic" w:eastAsia="Times New Roman" w:hAnsi="Century Gothic" w:cs="Times New Roman"/>
                <w:color w:val="666666"/>
                <w:sz w:val="21"/>
                <w:szCs w:val="21"/>
              </w:rPr>
              <w:t>hour general education and electives requirements. </w:t>
            </w:r>
          </w:p>
        </w:tc>
      </w:tr>
    </w:tbl>
    <w:p w14:paraId="0316FE80" w14:textId="77777777" w:rsidR="00D90799" w:rsidRPr="00C96AE0" w:rsidRDefault="00D90799">
      <w:pPr>
        <w:rPr>
          <w:rFonts w:ascii="Century Gothic" w:hAnsi="Century Gothic"/>
        </w:rPr>
      </w:pPr>
    </w:p>
    <w:sectPr w:rsidR="00D90799" w:rsidRPr="00C96AE0" w:rsidSect="00F62D5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303"/>
    <w:multiLevelType w:val="multilevel"/>
    <w:tmpl w:val="18CC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57396"/>
    <w:multiLevelType w:val="hybridMultilevel"/>
    <w:tmpl w:val="1A9C1D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0E104B"/>
    <w:multiLevelType w:val="hybridMultilevel"/>
    <w:tmpl w:val="92D20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D1B00"/>
    <w:multiLevelType w:val="multilevel"/>
    <w:tmpl w:val="13D6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7D302B"/>
    <w:multiLevelType w:val="hybridMultilevel"/>
    <w:tmpl w:val="422A944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49A6193D"/>
    <w:multiLevelType w:val="multilevel"/>
    <w:tmpl w:val="DC58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1D7858"/>
    <w:multiLevelType w:val="hybridMultilevel"/>
    <w:tmpl w:val="5F9C75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7B1D18"/>
    <w:multiLevelType w:val="multilevel"/>
    <w:tmpl w:val="C97072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9313305">
    <w:abstractNumId w:val="5"/>
  </w:num>
  <w:num w:numId="2" w16cid:durableId="108595986">
    <w:abstractNumId w:val="7"/>
  </w:num>
  <w:num w:numId="3" w16cid:durableId="820460130">
    <w:abstractNumId w:val="3"/>
  </w:num>
  <w:num w:numId="4" w16cid:durableId="433593100">
    <w:abstractNumId w:val="0"/>
  </w:num>
  <w:num w:numId="5" w16cid:durableId="34427943">
    <w:abstractNumId w:val="1"/>
  </w:num>
  <w:num w:numId="6" w16cid:durableId="1510175513">
    <w:abstractNumId w:val="4"/>
  </w:num>
  <w:num w:numId="7" w16cid:durableId="954795749">
    <w:abstractNumId w:val="2"/>
  </w:num>
  <w:num w:numId="8" w16cid:durableId="2137870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E0"/>
    <w:rsid w:val="00131F63"/>
    <w:rsid w:val="001341D2"/>
    <w:rsid w:val="00142611"/>
    <w:rsid w:val="00165A77"/>
    <w:rsid w:val="002327A4"/>
    <w:rsid w:val="0038210B"/>
    <w:rsid w:val="004D0FC0"/>
    <w:rsid w:val="00502CFA"/>
    <w:rsid w:val="00550F6B"/>
    <w:rsid w:val="005653A2"/>
    <w:rsid w:val="0061119D"/>
    <w:rsid w:val="006A521C"/>
    <w:rsid w:val="006D1AD9"/>
    <w:rsid w:val="006E5D47"/>
    <w:rsid w:val="00700351"/>
    <w:rsid w:val="00713478"/>
    <w:rsid w:val="00714CF1"/>
    <w:rsid w:val="00812350"/>
    <w:rsid w:val="00915392"/>
    <w:rsid w:val="009F47E1"/>
    <w:rsid w:val="00A85005"/>
    <w:rsid w:val="00AF561D"/>
    <w:rsid w:val="00C91EB2"/>
    <w:rsid w:val="00C96AE0"/>
    <w:rsid w:val="00D72646"/>
    <w:rsid w:val="00D90799"/>
    <w:rsid w:val="00DC6417"/>
    <w:rsid w:val="00E61779"/>
    <w:rsid w:val="00EC6CBA"/>
    <w:rsid w:val="00F62D54"/>
    <w:rsid w:val="00FA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81426C4"/>
  <w15:chartTrackingRefBased/>
  <w15:docId w15:val="{D4B22C0D-94E0-4F5C-AC1A-03974BC5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F561D"/>
    <w:pPr>
      <w:spacing w:after="0"/>
    </w:pPr>
  </w:style>
  <w:style w:type="paragraph" w:styleId="ListParagraph">
    <w:name w:val="List Paragraph"/>
    <w:basedOn w:val="Normal"/>
    <w:uiPriority w:val="34"/>
    <w:qFormat/>
    <w:rsid w:val="00AF561D"/>
    <w:pPr>
      <w:ind w:left="720"/>
      <w:contextualSpacing/>
    </w:pPr>
  </w:style>
  <w:style w:type="character" w:styleId="CommentReference">
    <w:name w:val="annotation reference"/>
    <w:basedOn w:val="DefaultParagraphFont"/>
    <w:uiPriority w:val="99"/>
    <w:semiHidden/>
    <w:unhideWhenUsed/>
    <w:rsid w:val="00D72646"/>
    <w:rPr>
      <w:sz w:val="16"/>
      <w:szCs w:val="16"/>
    </w:rPr>
  </w:style>
  <w:style w:type="paragraph" w:styleId="CommentText">
    <w:name w:val="annotation text"/>
    <w:basedOn w:val="Normal"/>
    <w:link w:val="CommentTextChar"/>
    <w:uiPriority w:val="99"/>
    <w:unhideWhenUsed/>
    <w:rsid w:val="00D72646"/>
    <w:rPr>
      <w:sz w:val="20"/>
      <w:szCs w:val="20"/>
    </w:rPr>
  </w:style>
  <w:style w:type="character" w:customStyle="1" w:styleId="CommentTextChar">
    <w:name w:val="Comment Text Char"/>
    <w:basedOn w:val="DefaultParagraphFont"/>
    <w:link w:val="CommentText"/>
    <w:uiPriority w:val="99"/>
    <w:rsid w:val="00D72646"/>
    <w:rPr>
      <w:sz w:val="20"/>
      <w:szCs w:val="20"/>
    </w:rPr>
  </w:style>
  <w:style w:type="paragraph" w:styleId="CommentSubject">
    <w:name w:val="annotation subject"/>
    <w:basedOn w:val="CommentText"/>
    <w:next w:val="CommentText"/>
    <w:link w:val="CommentSubjectChar"/>
    <w:uiPriority w:val="99"/>
    <w:semiHidden/>
    <w:unhideWhenUsed/>
    <w:rsid w:val="00D72646"/>
    <w:rPr>
      <w:b/>
      <w:bCs/>
    </w:rPr>
  </w:style>
  <w:style w:type="character" w:customStyle="1" w:styleId="CommentSubjectChar">
    <w:name w:val="Comment Subject Char"/>
    <w:basedOn w:val="CommentTextChar"/>
    <w:link w:val="CommentSubject"/>
    <w:uiPriority w:val="99"/>
    <w:semiHidden/>
    <w:rsid w:val="00D726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697222">
      <w:bodyDiv w:val="1"/>
      <w:marLeft w:val="0"/>
      <w:marRight w:val="0"/>
      <w:marTop w:val="0"/>
      <w:marBottom w:val="0"/>
      <w:divBdr>
        <w:top w:val="none" w:sz="0" w:space="0" w:color="auto"/>
        <w:left w:val="none" w:sz="0" w:space="0" w:color="auto"/>
        <w:bottom w:val="none" w:sz="0" w:space="0" w:color="auto"/>
        <w:right w:val="none" w:sz="0" w:space="0" w:color="auto"/>
      </w:divBdr>
      <w:divsChild>
        <w:div w:id="1757822045">
          <w:marLeft w:val="0"/>
          <w:marRight w:val="0"/>
          <w:marTop w:val="0"/>
          <w:marBottom w:val="0"/>
          <w:divBdr>
            <w:top w:val="none" w:sz="0" w:space="0" w:color="auto"/>
            <w:left w:val="none" w:sz="0" w:space="0" w:color="auto"/>
            <w:bottom w:val="none" w:sz="0" w:space="0" w:color="auto"/>
            <w:right w:val="none" w:sz="0" w:space="0" w:color="auto"/>
          </w:divBdr>
          <w:divsChild>
            <w:div w:id="506556189">
              <w:marLeft w:val="0"/>
              <w:marRight w:val="0"/>
              <w:marTop w:val="0"/>
              <w:marBottom w:val="0"/>
              <w:divBdr>
                <w:top w:val="none" w:sz="0" w:space="0" w:color="auto"/>
                <w:left w:val="none" w:sz="0" w:space="0" w:color="auto"/>
                <w:bottom w:val="none" w:sz="0" w:space="0" w:color="auto"/>
                <w:right w:val="none" w:sz="0" w:space="0" w:color="auto"/>
              </w:divBdr>
            </w:div>
            <w:div w:id="1153910677">
              <w:marLeft w:val="0"/>
              <w:marRight w:val="0"/>
              <w:marTop w:val="0"/>
              <w:marBottom w:val="0"/>
              <w:divBdr>
                <w:top w:val="none" w:sz="0" w:space="0" w:color="auto"/>
                <w:left w:val="none" w:sz="0" w:space="0" w:color="auto"/>
                <w:bottom w:val="none" w:sz="0" w:space="0" w:color="auto"/>
                <w:right w:val="none" w:sz="0" w:space="0" w:color="auto"/>
              </w:divBdr>
            </w:div>
            <w:div w:id="473378167">
              <w:marLeft w:val="0"/>
              <w:marRight w:val="0"/>
              <w:marTop w:val="0"/>
              <w:marBottom w:val="0"/>
              <w:divBdr>
                <w:top w:val="none" w:sz="0" w:space="0" w:color="auto"/>
                <w:left w:val="none" w:sz="0" w:space="0" w:color="auto"/>
                <w:bottom w:val="none" w:sz="0" w:space="0" w:color="auto"/>
                <w:right w:val="none" w:sz="0" w:space="0" w:color="auto"/>
              </w:divBdr>
            </w:div>
            <w:div w:id="383454626">
              <w:marLeft w:val="0"/>
              <w:marRight w:val="0"/>
              <w:marTop w:val="0"/>
              <w:marBottom w:val="0"/>
              <w:divBdr>
                <w:top w:val="none" w:sz="0" w:space="0" w:color="auto"/>
                <w:left w:val="none" w:sz="0" w:space="0" w:color="auto"/>
                <w:bottom w:val="none" w:sz="0" w:space="0" w:color="auto"/>
                <w:right w:val="none" w:sz="0" w:space="0" w:color="auto"/>
              </w:divBdr>
            </w:div>
            <w:div w:id="14973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lrules.org/gateway/ruleno.asp?id=6A-10.030" TargetMode="External"/><Relationship Id="rId18" Type="http://schemas.openxmlformats.org/officeDocument/2006/relationships/hyperlink" Target="http://catalog.fsw.edu/preview_program.php?catoid=15&amp;poid=1451&amp;returnto=1327" TargetMode="External"/><Relationship Id="rId26" Type="http://schemas.openxmlformats.org/officeDocument/2006/relationships/hyperlink" Target="http://catalog.fsw.edu/preview_program.php?catoid=15&amp;poid=1451&amp;returnto=132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atalog.fsw.edu/preview_program.php?catoid=15&amp;poid=1451&amp;returnto=1327" TargetMode="External"/><Relationship Id="rId34" Type="http://schemas.openxmlformats.org/officeDocument/2006/relationships/hyperlink" Target="http://catalog.fsw.edu/preview_program.php?catoid=15&amp;poid=1451&amp;returnto=1327" TargetMode="External"/><Relationship Id="rId7" Type="http://schemas.openxmlformats.org/officeDocument/2006/relationships/hyperlink" Target="http://catalog.fsw.edu/preview_program.php?catoid=15&amp;poid=1405" TargetMode="External"/><Relationship Id="rId12" Type="http://schemas.openxmlformats.org/officeDocument/2006/relationships/hyperlink" Target="https://www.flrules.org/gateway/ruleno.asp?id=6A-14.0303" TargetMode="External"/><Relationship Id="rId17" Type="http://schemas.openxmlformats.org/officeDocument/2006/relationships/hyperlink" Target="http://catalog.fsw.edu/preview_program.php?catoid=15&amp;poid=1451&amp;returnto=1327" TargetMode="External"/><Relationship Id="rId25" Type="http://schemas.openxmlformats.org/officeDocument/2006/relationships/hyperlink" Target="http://catalog.fsw.edu/preview_program.php?catoid=15&amp;poid=1451&amp;returnto=1327" TargetMode="External"/><Relationship Id="rId33" Type="http://schemas.openxmlformats.org/officeDocument/2006/relationships/hyperlink" Target="http://catalog.fsw.edu/preview_program.php?catoid=15&amp;poid=1451&amp;returnto=1327" TargetMode="External"/><Relationship Id="rId38" Type="http://schemas.openxmlformats.org/officeDocument/2006/relationships/hyperlink" Target="http://catalog.fsw.edu/preview_program.php?catoid=15&amp;poid=1451&amp;returnto=1327" TargetMode="External"/><Relationship Id="rId2" Type="http://schemas.openxmlformats.org/officeDocument/2006/relationships/styles" Target="styles.xml"/><Relationship Id="rId16" Type="http://schemas.openxmlformats.org/officeDocument/2006/relationships/hyperlink" Target="http://www.leg.state.fl.us/Statutes/index.cfm?App_mode=Display_Statute&amp;URL=1000-1099/1007/Sections/1007.262.html" TargetMode="External"/><Relationship Id="rId20" Type="http://schemas.openxmlformats.org/officeDocument/2006/relationships/hyperlink" Target="http://catalog.fsw.edu/preview_program.php?catoid=15&amp;poid=1451&amp;returnto=1327" TargetMode="External"/><Relationship Id="rId29" Type="http://schemas.openxmlformats.org/officeDocument/2006/relationships/hyperlink" Target="http://catalog.fsw.edu/preview_program.php?catoid=15&amp;poid=1451&amp;returnto=1327" TargetMode="Externa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www.flrules.org/gateway/ruleno.asp?id=6A-14.0303" TargetMode="External"/><Relationship Id="rId24" Type="http://schemas.openxmlformats.org/officeDocument/2006/relationships/hyperlink" Target="http://catalog.fsw.edu/preview_program.php?catoid=15&amp;poid=1451&amp;returnto=1327" TargetMode="External"/><Relationship Id="rId32" Type="http://schemas.openxmlformats.org/officeDocument/2006/relationships/hyperlink" Target="http://catalog.fsw.edu/preview_program.php?catoid=15&amp;poid=1451&amp;returnto=1327" TargetMode="External"/><Relationship Id="rId37" Type="http://schemas.openxmlformats.org/officeDocument/2006/relationships/hyperlink" Target="http://catalog.fsw.edu/preview_program.php?catoid=15&amp;poid=1451&amp;returnto=1327" TargetMode="External"/><Relationship Id="rId40"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leg.state.fl.us/Statutes/index.cfm?App_mode=Display_Statute&amp;URL=1000-1099/1007/Sections/1007.25.html" TargetMode="External"/><Relationship Id="rId23" Type="http://schemas.openxmlformats.org/officeDocument/2006/relationships/hyperlink" Target="http://catalog.fsw.edu/preview_program.php?catoid=15&amp;poid=1451&amp;returnto=1327" TargetMode="External"/><Relationship Id="rId28" Type="http://schemas.openxmlformats.org/officeDocument/2006/relationships/hyperlink" Target="http://catalog.fsw.edu/preview_program.php?catoid=15&amp;poid=1451&amp;returnto=1327" TargetMode="External"/><Relationship Id="rId36" Type="http://schemas.openxmlformats.org/officeDocument/2006/relationships/hyperlink" Target="http://catalog.fsw.edu/preview_program.php?catoid=15&amp;poid=1451&amp;returnto=1327" TargetMode="External"/><Relationship Id="rId10" Type="http://schemas.openxmlformats.org/officeDocument/2006/relationships/hyperlink" Target="http://catalog.fsw.edu/preview_program.php?catoid=15&amp;poid=1451&amp;returnto=1327" TargetMode="External"/><Relationship Id="rId19" Type="http://schemas.openxmlformats.org/officeDocument/2006/relationships/hyperlink" Target="http://catalog.fsw.edu/preview_program.php?catoid=15&amp;poid=1451&amp;returnto=1327" TargetMode="External"/><Relationship Id="rId31" Type="http://schemas.openxmlformats.org/officeDocument/2006/relationships/hyperlink" Target="http://catalog.fsw.edu/preview_program.php?catoid=15&amp;poid=1451&amp;returnto=1327"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51&amp;returnto=1327" TargetMode="External"/><Relationship Id="rId14" Type="http://schemas.openxmlformats.org/officeDocument/2006/relationships/hyperlink" Target="https://www.floridashines.org/" TargetMode="External"/><Relationship Id="rId22" Type="http://schemas.openxmlformats.org/officeDocument/2006/relationships/hyperlink" Target="http://catalog.fsw.edu/preview_program.php?catoid=15&amp;poid=1451&amp;returnto=1327" TargetMode="External"/><Relationship Id="rId27" Type="http://schemas.openxmlformats.org/officeDocument/2006/relationships/hyperlink" Target="http://catalog.fsw.edu/preview_program.php?catoid=15&amp;poid=1451&amp;returnto=1327" TargetMode="External"/><Relationship Id="rId30" Type="http://schemas.openxmlformats.org/officeDocument/2006/relationships/hyperlink" Target="http://catalog.fsw.edu/preview_program.php?catoid=15&amp;poid=1451&amp;returnto=1327" TargetMode="External"/><Relationship Id="rId35" Type="http://schemas.openxmlformats.org/officeDocument/2006/relationships/hyperlink" Target="http://catalog.fsw.edu/preview_program.php?catoid=15&amp;poid=1451&amp;returnto=1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3</cp:revision>
  <dcterms:created xsi:type="dcterms:W3CDTF">2022-04-07T21:58:00Z</dcterms:created>
  <dcterms:modified xsi:type="dcterms:W3CDTF">2022-04-08T21:05:00Z</dcterms:modified>
</cp:coreProperties>
</file>