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0" w:type="dxa"/>
        <w:tblLook w:val="01E0" w:firstRow="1" w:lastRow="1" w:firstColumn="1" w:lastColumn="1" w:noHBand="0" w:noVBand="0"/>
      </w:tblPr>
      <w:tblGrid>
        <w:gridCol w:w="3262"/>
        <w:gridCol w:w="6658"/>
      </w:tblGrid>
      <w:tr w:rsidR="00D71D5B" w:rsidRPr="000136A1" w:rsidTr="004952FE">
        <w:trPr>
          <w:trHeight w:val="1346"/>
        </w:trPr>
        <w:tc>
          <w:tcPr>
            <w:tcW w:w="3262" w:type="dxa"/>
          </w:tcPr>
          <w:p w:rsidR="00D71D5B" w:rsidRPr="000136A1" w:rsidRDefault="00D71D5B" w:rsidP="00E9670B">
            <w:pPr>
              <w:rPr>
                <w:rFonts w:ascii="Arial" w:hAnsi="Arial" w:cs="Arial"/>
                <w:b/>
                <w:bCs/>
                <w:sz w:val="22"/>
                <w:szCs w:val="22"/>
              </w:rPr>
            </w:pPr>
            <w:r w:rsidRPr="000136A1">
              <w:rPr>
                <w:rFonts w:ascii="Arial" w:hAnsi="Arial" w:cs="Arial"/>
                <w:b/>
                <w:bCs/>
                <w:sz w:val="22"/>
                <w:szCs w:val="22"/>
              </w:rPr>
              <w:t>Procedure Title:</w:t>
            </w:r>
          </w:p>
          <w:p w:rsidR="009777EB" w:rsidRPr="000136A1" w:rsidRDefault="009777EB" w:rsidP="00E9670B">
            <w:pPr>
              <w:rPr>
                <w:rFonts w:ascii="Arial" w:hAnsi="Arial" w:cs="Arial"/>
                <w:b/>
                <w:bCs/>
                <w:sz w:val="22"/>
                <w:szCs w:val="22"/>
              </w:rPr>
            </w:pPr>
          </w:p>
          <w:p w:rsidR="00AD20CD" w:rsidRPr="000136A1" w:rsidRDefault="00AD20CD" w:rsidP="00E9670B">
            <w:pPr>
              <w:rPr>
                <w:rFonts w:ascii="Arial" w:hAnsi="Arial" w:cs="Arial"/>
                <w:b/>
                <w:bCs/>
                <w:sz w:val="22"/>
                <w:szCs w:val="22"/>
              </w:rPr>
            </w:pPr>
          </w:p>
          <w:p w:rsidR="00D71D5B" w:rsidRPr="000136A1" w:rsidRDefault="00D71D5B" w:rsidP="00E9670B">
            <w:pPr>
              <w:rPr>
                <w:rFonts w:ascii="Arial" w:hAnsi="Arial" w:cs="Arial"/>
                <w:b/>
                <w:bCs/>
                <w:sz w:val="22"/>
                <w:szCs w:val="22"/>
              </w:rPr>
            </w:pPr>
            <w:r w:rsidRPr="000136A1">
              <w:rPr>
                <w:rFonts w:ascii="Arial" w:hAnsi="Arial" w:cs="Arial"/>
                <w:b/>
                <w:bCs/>
                <w:sz w:val="22"/>
                <w:szCs w:val="22"/>
              </w:rPr>
              <w:t>Procedure Number:</w:t>
            </w:r>
          </w:p>
          <w:p w:rsidR="00D71D5B" w:rsidRPr="000136A1" w:rsidRDefault="00D71D5B" w:rsidP="00E9670B">
            <w:pPr>
              <w:rPr>
                <w:rFonts w:ascii="Arial" w:hAnsi="Arial" w:cs="Arial"/>
                <w:b/>
                <w:bCs/>
                <w:sz w:val="22"/>
                <w:szCs w:val="22"/>
              </w:rPr>
            </w:pPr>
            <w:r w:rsidRPr="000136A1">
              <w:rPr>
                <w:rFonts w:ascii="Arial" w:hAnsi="Arial" w:cs="Arial"/>
                <w:b/>
                <w:bCs/>
                <w:sz w:val="22"/>
                <w:szCs w:val="22"/>
              </w:rPr>
              <w:t>Originating Department:</w:t>
            </w:r>
          </w:p>
        </w:tc>
        <w:tc>
          <w:tcPr>
            <w:tcW w:w="6658" w:type="dxa"/>
          </w:tcPr>
          <w:p w:rsidR="00AD20CD" w:rsidRPr="000136A1" w:rsidRDefault="0085661D" w:rsidP="00AD20CD">
            <w:pPr>
              <w:rPr>
                <w:rFonts w:ascii="Arial" w:hAnsi="Arial" w:cs="Arial"/>
                <w:bCs/>
                <w:i/>
                <w:color w:val="FF0000"/>
                <w:sz w:val="22"/>
                <w:szCs w:val="22"/>
              </w:rPr>
            </w:pPr>
            <w:r w:rsidRPr="000136A1">
              <w:rPr>
                <w:rFonts w:ascii="Arial" w:hAnsi="Arial" w:cs="Arial"/>
                <w:sz w:val="22"/>
                <w:szCs w:val="22"/>
              </w:rPr>
              <w:t xml:space="preserve">Renewal of Faculty Certification for Online and Blended Instruction </w:t>
            </w:r>
          </w:p>
          <w:p w:rsidR="00D71D5B" w:rsidRPr="000136A1" w:rsidRDefault="00D71D5B" w:rsidP="00E9670B">
            <w:pPr>
              <w:rPr>
                <w:rFonts w:ascii="Arial" w:hAnsi="Arial" w:cs="Arial"/>
                <w:bCs/>
                <w:sz w:val="22"/>
                <w:szCs w:val="22"/>
              </w:rPr>
            </w:pPr>
          </w:p>
          <w:p w:rsidR="00161877" w:rsidRPr="000136A1" w:rsidRDefault="009777EB" w:rsidP="00E9670B">
            <w:pPr>
              <w:rPr>
                <w:rFonts w:ascii="Arial" w:hAnsi="Arial" w:cs="Arial"/>
                <w:sz w:val="22"/>
                <w:szCs w:val="22"/>
              </w:rPr>
            </w:pPr>
            <w:r w:rsidRPr="000136A1">
              <w:rPr>
                <w:rFonts w:ascii="Arial" w:hAnsi="Arial" w:cs="Arial"/>
                <w:sz w:val="22"/>
                <w:szCs w:val="22"/>
              </w:rPr>
              <w:t>03-0804</w:t>
            </w:r>
          </w:p>
          <w:p w:rsidR="00D71D5B" w:rsidRPr="000136A1" w:rsidRDefault="00A52C08" w:rsidP="00A52C08">
            <w:pPr>
              <w:rPr>
                <w:rFonts w:ascii="Arial" w:hAnsi="Arial" w:cs="Arial"/>
                <w:bCs/>
                <w:sz w:val="22"/>
                <w:szCs w:val="22"/>
              </w:rPr>
            </w:pPr>
            <w:r w:rsidRPr="000136A1">
              <w:rPr>
                <w:rFonts w:ascii="Arial" w:hAnsi="Arial" w:cs="Arial"/>
                <w:sz w:val="22"/>
                <w:szCs w:val="22"/>
              </w:rPr>
              <w:t>Provost</w:t>
            </w:r>
          </w:p>
        </w:tc>
      </w:tr>
      <w:tr w:rsidR="00D71D5B" w:rsidRPr="000136A1" w:rsidTr="004952FE">
        <w:trPr>
          <w:trHeight w:val="3486"/>
        </w:trPr>
        <w:tc>
          <w:tcPr>
            <w:tcW w:w="3262" w:type="dxa"/>
          </w:tcPr>
          <w:p w:rsidR="00D71D5B" w:rsidRPr="000136A1" w:rsidRDefault="00D71D5B" w:rsidP="00D71D5B">
            <w:pPr>
              <w:rPr>
                <w:rFonts w:ascii="Arial" w:hAnsi="Arial" w:cs="Arial"/>
                <w:b/>
                <w:bCs/>
                <w:sz w:val="22"/>
                <w:szCs w:val="22"/>
                <w:u w:val="single"/>
              </w:rPr>
            </w:pPr>
          </w:p>
          <w:p w:rsidR="00D71D5B" w:rsidRPr="000136A1" w:rsidRDefault="00D71D5B" w:rsidP="00D71D5B">
            <w:pPr>
              <w:rPr>
                <w:rFonts w:ascii="Arial" w:hAnsi="Arial" w:cs="Arial"/>
                <w:bCs/>
                <w:sz w:val="22"/>
                <w:szCs w:val="22"/>
              </w:rPr>
            </w:pPr>
            <w:r w:rsidRPr="000136A1">
              <w:rPr>
                <w:rFonts w:ascii="Arial" w:hAnsi="Arial" w:cs="Arial"/>
                <w:b/>
                <w:bCs/>
                <w:sz w:val="22"/>
                <w:szCs w:val="22"/>
                <w:u w:val="single"/>
              </w:rPr>
              <w:t>Specific Authority</w:t>
            </w:r>
            <w:r w:rsidRPr="000136A1">
              <w:rPr>
                <w:rFonts w:ascii="Arial" w:hAnsi="Arial" w:cs="Arial"/>
                <w:b/>
                <w:bCs/>
                <w:sz w:val="22"/>
                <w:szCs w:val="22"/>
              </w:rPr>
              <w:t>:</w:t>
            </w:r>
            <w:r w:rsidRPr="000136A1">
              <w:rPr>
                <w:rFonts w:ascii="Arial" w:hAnsi="Arial" w:cs="Arial"/>
                <w:bCs/>
                <w:sz w:val="22"/>
                <w:szCs w:val="22"/>
              </w:rPr>
              <w:t xml:space="preserve"> </w:t>
            </w:r>
          </w:p>
          <w:p w:rsidR="00D71D5B" w:rsidRPr="000136A1" w:rsidRDefault="00D71D5B" w:rsidP="00D71D5B">
            <w:pPr>
              <w:rPr>
                <w:rFonts w:ascii="Arial" w:hAnsi="Arial" w:cs="Arial"/>
                <w:bCs/>
                <w:sz w:val="22"/>
                <w:szCs w:val="22"/>
              </w:rPr>
            </w:pPr>
            <w:r w:rsidRPr="000136A1">
              <w:rPr>
                <w:rFonts w:ascii="Arial" w:hAnsi="Arial" w:cs="Arial"/>
                <w:bCs/>
                <w:sz w:val="22"/>
                <w:szCs w:val="22"/>
              </w:rPr>
              <w:t xml:space="preserve">Board Policy </w:t>
            </w:r>
          </w:p>
          <w:p w:rsidR="00D71D5B" w:rsidRPr="000136A1" w:rsidRDefault="00D71D5B" w:rsidP="00D71D5B">
            <w:pPr>
              <w:rPr>
                <w:rFonts w:ascii="Arial" w:hAnsi="Arial" w:cs="Arial"/>
                <w:bCs/>
                <w:sz w:val="22"/>
                <w:szCs w:val="22"/>
              </w:rPr>
            </w:pPr>
            <w:r w:rsidRPr="000136A1">
              <w:rPr>
                <w:rFonts w:ascii="Arial" w:hAnsi="Arial" w:cs="Arial"/>
                <w:bCs/>
                <w:sz w:val="22"/>
                <w:szCs w:val="22"/>
              </w:rPr>
              <w:t xml:space="preserve">Florida Statute </w:t>
            </w:r>
          </w:p>
          <w:p w:rsidR="00D71D5B" w:rsidRPr="000136A1" w:rsidRDefault="00D71D5B" w:rsidP="00D71D5B">
            <w:pPr>
              <w:rPr>
                <w:rFonts w:ascii="Arial" w:hAnsi="Arial" w:cs="Arial"/>
                <w:bCs/>
                <w:sz w:val="22"/>
                <w:szCs w:val="22"/>
              </w:rPr>
            </w:pPr>
            <w:r w:rsidRPr="000136A1">
              <w:rPr>
                <w:rFonts w:ascii="Arial" w:hAnsi="Arial" w:cs="Arial"/>
                <w:bCs/>
                <w:sz w:val="22"/>
                <w:szCs w:val="22"/>
              </w:rPr>
              <w:t>Florida Administrative Code</w:t>
            </w:r>
          </w:p>
          <w:p w:rsidR="00D71D5B" w:rsidRPr="000136A1" w:rsidRDefault="00D71D5B" w:rsidP="00D71D5B">
            <w:pPr>
              <w:rPr>
                <w:rFonts w:ascii="Arial" w:hAnsi="Arial" w:cs="Arial"/>
                <w:bCs/>
                <w:sz w:val="22"/>
                <w:szCs w:val="22"/>
              </w:rPr>
            </w:pPr>
          </w:p>
          <w:p w:rsidR="00D71D5B" w:rsidRPr="000136A1" w:rsidRDefault="00D71D5B" w:rsidP="00D71D5B">
            <w:pPr>
              <w:rPr>
                <w:rFonts w:ascii="Arial" w:hAnsi="Arial" w:cs="Arial"/>
                <w:bCs/>
                <w:sz w:val="22"/>
                <w:szCs w:val="22"/>
              </w:rPr>
            </w:pPr>
            <w:r w:rsidRPr="000136A1">
              <w:rPr>
                <w:rFonts w:ascii="Arial" w:hAnsi="Arial" w:cs="Arial"/>
                <w:b/>
                <w:bCs/>
                <w:sz w:val="22"/>
                <w:szCs w:val="22"/>
              </w:rPr>
              <w:t>Procedure Actions:</w:t>
            </w:r>
            <w:r w:rsidRPr="000136A1">
              <w:rPr>
                <w:rFonts w:ascii="Arial" w:hAnsi="Arial" w:cs="Arial"/>
                <w:bCs/>
                <w:sz w:val="22"/>
                <w:szCs w:val="22"/>
              </w:rPr>
              <w:tab/>
            </w:r>
          </w:p>
          <w:p w:rsidR="00E62E69" w:rsidRPr="000136A1" w:rsidRDefault="00E62E69" w:rsidP="00D71D5B">
            <w:pPr>
              <w:rPr>
                <w:rFonts w:ascii="Arial" w:hAnsi="Arial" w:cs="Arial"/>
                <w:bCs/>
                <w:sz w:val="22"/>
                <w:szCs w:val="22"/>
              </w:rPr>
            </w:pPr>
          </w:p>
          <w:p w:rsidR="00D71D5B" w:rsidRPr="000136A1" w:rsidRDefault="00D71D5B" w:rsidP="00E9670B">
            <w:pPr>
              <w:rPr>
                <w:rFonts w:ascii="Arial" w:hAnsi="Arial" w:cs="Arial"/>
                <w:bCs/>
                <w:sz w:val="22"/>
                <w:szCs w:val="22"/>
              </w:rPr>
            </w:pPr>
            <w:r w:rsidRPr="000136A1">
              <w:rPr>
                <w:rFonts w:ascii="Arial" w:hAnsi="Arial" w:cs="Arial"/>
                <w:b/>
                <w:bCs/>
                <w:sz w:val="22"/>
                <w:szCs w:val="22"/>
              </w:rPr>
              <w:t>Purpose Statement</w:t>
            </w:r>
            <w:r w:rsidRPr="000136A1">
              <w:rPr>
                <w:rFonts w:ascii="Arial" w:hAnsi="Arial" w:cs="Arial"/>
                <w:bCs/>
                <w:sz w:val="22"/>
                <w:szCs w:val="22"/>
              </w:rPr>
              <w:t>:</w:t>
            </w:r>
          </w:p>
          <w:p w:rsidR="00AA776A" w:rsidRPr="000136A1" w:rsidRDefault="00AA776A" w:rsidP="00AA776A">
            <w:pPr>
              <w:rPr>
                <w:rFonts w:ascii="Arial" w:hAnsi="Arial" w:cs="Arial"/>
                <w:b/>
                <w:bCs/>
                <w:sz w:val="22"/>
                <w:szCs w:val="22"/>
              </w:rPr>
            </w:pPr>
          </w:p>
        </w:tc>
        <w:tc>
          <w:tcPr>
            <w:tcW w:w="6658" w:type="dxa"/>
          </w:tcPr>
          <w:p w:rsidR="00D71D5B" w:rsidRPr="000136A1" w:rsidRDefault="00D71D5B" w:rsidP="00E9670B">
            <w:pPr>
              <w:rPr>
                <w:rFonts w:ascii="Arial" w:hAnsi="Arial" w:cs="Arial"/>
                <w:bCs/>
                <w:sz w:val="22"/>
                <w:szCs w:val="22"/>
              </w:rPr>
            </w:pPr>
          </w:p>
          <w:p w:rsidR="00E62E69" w:rsidRPr="000136A1" w:rsidRDefault="00E62E69" w:rsidP="00E62E69">
            <w:pPr>
              <w:rPr>
                <w:rFonts w:ascii="Arial" w:hAnsi="Arial" w:cs="Arial"/>
                <w:sz w:val="22"/>
                <w:szCs w:val="22"/>
              </w:rPr>
            </w:pPr>
          </w:p>
          <w:p w:rsidR="00E62E69" w:rsidRPr="000136A1" w:rsidRDefault="00083CDE" w:rsidP="00E62E69">
            <w:pPr>
              <w:rPr>
                <w:rFonts w:ascii="Arial" w:hAnsi="Arial" w:cs="Arial"/>
                <w:sz w:val="22"/>
                <w:szCs w:val="22"/>
              </w:rPr>
            </w:pPr>
            <w:r>
              <w:rPr>
                <w:rFonts w:ascii="Arial" w:hAnsi="Arial" w:cs="Arial"/>
                <w:sz w:val="22"/>
                <w:szCs w:val="22"/>
              </w:rPr>
              <w:t>n/a</w:t>
            </w:r>
          </w:p>
          <w:p w:rsidR="00E62E69" w:rsidRPr="000136A1" w:rsidRDefault="00083CDE" w:rsidP="00E62E69">
            <w:pPr>
              <w:rPr>
                <w:rFonts w:ascii="Arial" w:hAnsi="Arial" w:cs="Arial"/>
                <w:bCs/>
                <w:sz w:val="22"/>
                <w:szCs w:val="22"/>
              </w:rPr>
            </w:pPr>
            <w:r>
              <w:rPr>
                <w:rFonts w:ascii="Arial" w:hAnsi="Arial" w:cs="Arial"/>
                <w:sz w:val="22"/>
                <w:szCs w:val="22"/>
              </w:rPr>
              <w:t>n/a</w:t>
            </w:r>
          </w:p>
          <w:p w:rsidR="00E62E69" w:rsidRPr="000136A1" w:rsidRDefault="00083CDE" w:rsidP="00E62E69">
            <w:pPr>
              <w:rPr>
                <w:rFonts w:ascii="Arial" w:hAnsi="Arial" w:cs="Arial"/>
                <w:bCs/>
                <w:sz w:val="22"/>
                <w:szCs w:val="22"/>
              </w:rPr>
            </w:pPr>
            <w:r>
              <w:rPr>
                <w:rFonts w:ascii="Arial" w:hAnsi="Arial" w:cs="Arial"/>
                <w:bCs/>
                <w:sz w:val="22"/>
                <w:szCs w:val="22"/>
              </w:rPr>
              <w:t>n/a</w:t>
            </w:r>
          </w:p>
          <w:p w:rsidR="00E62E69" w:rsidRPr="000136A1" w:rsidRDefault="00E62E69" w:rsidP="00E62E69">
            <w:pPr>
              <w:rPr>
                <w:rFonts w:ascii="Arial" w:hAnsi="Arial" w:cs="Arial"/>
                <w:bCs/>
                <w:sz w:val="22"/>
                <w:szCs w:val="22"/>
              </w:rPr>
            </w:pPr>
          </w:p>
          <w:p w:rsidR="00E62E69" w:rsidRPr="000136A1" w:rsidRDefault="00E62E69" w:rsidP="00E62E69">
            <w:pPr>
              <w:rPr>
                <w:rFonts w:ascii="Arial" w:hAnsi="Arial" w:cs="Arial"/>
                <w:bCs/>
                <w:sz w:val="22"/>
                <w:szCs w:val="22"/>
              </w:rPr>
            </w:pPr>
            <w:r w:rsidRPr="000136A1">
              <w:rPr>
                <w:rFonts w:ascii="Arial" w:hAnsi="Arial" w:cs="Arial"/>
                <w:bCs/>
                <w:sz w:val="22"/>
                <w:szCs w:val="22"/>
              </w:rPr>
              <w:t xml:space="preserve">Adopted: </w:t>
            </w:r>
            <w:r w:rsidR="004952FE" w:rsidRPr="000136A1">
              <w:rPr>
                <w:rFonts w:ascii="Arial" w:hAnsi="Arial" w:cs="Arial"/>
                <w:bCs/>
                <w:sz w:val="22"/>
                <w:szCs w:val="22"/>
              </w:rPr>
              <w:t>06/01/10;02/15/11; 09/19/14;</w:t>
            </w:r>
            <w:r w:rsidR="00FD5A30" w:rsidRPr="000136A1">
              <w:rPr>
                <w:rFonts w:ascii="Arial" w:hAnsi="Arial" w:cs="Arial"/>
                <w:sz w:val="22"/>
                <w:szCs w:val="22"/>
              </w:rPr>
              <w:t>10/16/17</w:t>
            </w:r>
            <w:r w:rsidR="005F36BD" w:rsidRPr="000136A1" w:rsidDel="005F36BD">
              <w:rPr>
                <w:rFonts w:ascii="Arial" w:hAnsi="Arial" w:cs="Arial"/>
                <w:bCs/>
                <w:sz w:val="22"/>
                <w:szCs w:val="22"/>
              </w:rPr>
              <w:t xml:space="preserve"> </w:t>
            </w:r>
          </w:p>
          <w:p w:rsidR="00D71D5B" w:rsidRPr="000136A1" w:rsidRDefault="00E62E69" w:rsidP="00E9670B">
            <w:pPr>
              <w:rPr>
                <w:rFonts w:ascii="Arial" w:hAnsi="Arial" w:cs="Arial"/>
                <w:bCs/>
                <w:sz w:val="22"/>
                <w:szCs w:val="22"/>
              </w:rPr>
            </w:pPr>
            <w:r w:rsidRPr="000136A1">
              <w:rPr>
                <w:rFonts w:ascii="Arial" w:hAnsi="Arial" w:cs="Arial"/>
                <w:sz w:val="22"/>
                <w:szCs w:val="22"/>
              </w:rPr>
              <w:t xml:space="preserve"> </w:t>
            </w:r>
          </w:p>
          <w:p w:rsidR="00D71D5B" w:rsidRPr="000136A1" w:rsidRDefault="0085661D" w:rsidP="004952FE">
            <w:pPr>
              <w:rPr>
                <w:rFonts w:ascii="Arial" w:hAnsi="Arial" w:cs="Arial"/>
                <w:sz w:val="22"/>
                <w:szCs w:val="22"/>
              </w:rPr>
            </w:pPr>
            <w:r w:rsidRPr="000136A1">
              <w:rPr>
                <w:rFonts w:ascii="Arial" w:hAnsi="Arial" w:cs="Arial"/>
                <w:sz w:val="22"/>
                <w:szCs w:val="22"/>
              </w:rPr>
              <w:t xml:space="preserve">This COP defines the annual renewal certification process required of all faculty who teach an online course or a blended </w:t>
            </w:r>
            <w:proofErr w:type="gramStart"/>
            <w:r w:rsidRPr="000136A1">
              <w:rPr>
                <w:rFonts w:ascii="Arial" w:hAnsi="Arial" w:cs="Arial"/>
                <w:sz w:val="22"/>
                <w:szCs w:val="22"/>
              </w:rPr>
              <w:t>course which</w:t>
            </w:r>
            <w:proofErr w:type="gramEnd"/>
            <w:r w:rsidRPr="000136A1">
              <w:rPr>
                <w:rFonts w:ascii="Arial" w:hAnsi="Arial" w:cs="Arial"/>
                <w:sz w:val="22"/>
                <w:szCs w:val="22"/>
              </w:rPr>
              <w:t xml:space="preserve"> includes online instruction.</w:t>
            </w:r>
            <w:r w:rsidR="00AD20CD" w:rsidRPr="000136A1">
              <w:rPr>
                <w:rFonts w:ascii="Arial" w:hAnsi="Arial" w:cs="Arial"/>
                <w:i/>
                <w:color w:val="FF0000"/>
                <w:sz w:val="22"/>
                <w:szCs w:val="22"/>
              </w:rPr>
              <w:t xml:space="preserve"> </w:t>
            </w:r>
          </w:p>
        </w:tc>
      </w:tr>
    </w:tbl>
    <w:p w:rsidR="00AD20CD" w:rsidRDefault="00083CDE" w:rsidP="000136A1">
      <w:pPr>
        <w:jc w:val="both"/>
        <w:rPr>
          <w:rFonts w:ascii="Arial" w:hAnsi="Arial" w:cs="Arial"/>
          <w:b/>
          <w:sz w:val="22"/>
          <w:szCs w:val="22"/>
        </w:rPr>
      </w:pPr>
      <w:r w:rsidRPr="000136A1">
        <w:rPr>
          <w:rFonts w:ascii="Arial" w:hAnsi="Arial" w:cs="Arial"/>
          <w:bCs/>
          <w:noProof/>
          <w:sz w:val="22"/>
          <w:szCs w:val="22"/>
        </w:rPr>
        <mc:AlternateContent>
          <mc:Choice Requires="wps">
            <w:drawing>
              <wp:anchor distT="4294967294" distB="4294967294" distL="114300" distR="114300" simplePos="0" relativeHeight="251657216" behindDoc="0" locked="0" layoutInCell="1" allowOverlap="1">
                <wp:simplePos x="0" y="0"/>
                <wp:positionH relativeFrom="column">
                  <wp:posOffset>-76200</wp:posOffset>
                </wp:positionH>
                <wp:positionV relativeFrom="paragraph">
                  <wp:posOffset>-240666</wp:posOffset>
                </wp:positionV>
                <wp:extent cx="6248400" cy="0"/>
                <wp:effectExtent l="0" t="0" r="1905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80661" id="Line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8.95pt" to="4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Ne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"/>
            </w:pict>
          </mc:Fallback>
        </mc:AlternateContent>
      </w:r>
      <w:r w:rsidR="00AD20CD" w:rsidRPr="000136A1">
        <w:rPr>
          <w:rFonts w:ascii="Arial" w:hAnsi="Arial" w:cs="Arial"/>
          <w:b/>
          <w:sz w:val="22"/>
          <w:szCs w:val="22"/>
        </w:rPr>
        <w:t>Guidelines:</w:t>
      </w:r>
    </w:p>
    <w:p w:rsidR="000136A1" w:rsidRPr="000136A1" w:rsidRDefault="000136A1" w:rsidP="000136A1">
      <w:pPr>
        <w:jc w:val="both"/>
        <w:rPr>
          <w:rFonts w:ascii="Arial" w:hAnsi="Arial" w:cs="Arial"/>
          <w:b/>
          <w:sz w:val="22"/>
          <w:szCs w:val="22"/>
        </w:rPr>
      </w:pPr>
    </w:p>
    <w:p w:rsidR="00116CF9" w:rsidRPr="000136A1" w:rsidRDefault="00B612C2" w:rsidP="000136A1">
      <w:pPr>
        <w:jc w:val="both"/>
        <w:rPr>
          <w:rFonts w:ascii="Arial" w:hAnsi="Arial" w:cs="Arial"/>
          <w:sz w:val="22"/>
          <w:szCs w:val="22"/>
        </w:rPr>
      </w:pPr>
      <w:r w:rsidRPr="000136A1">
        <w:rPr>
          <w:rFonts w:ascii="Arial" w:hAnsi="Arial" w:cs="Arial"/>
          <w:sz w:val="22"/>
          <w:szCs w:val="22"/>
        </w:rPr>
        <w:t xml:space="preserve">Online and blended </w:t>
      </w:r>
      <w:r w:rsidR="00F7677A" w:rsidRPr="000136A1">
        <w:rPr>
          <w:rFonts w:ascii="Arial" w:hAnsi="Arial" w:cs="Arial"/>
          <w:sz w:val="22"/>
          <w:szCs w:val="22"/>
        </w:rPr>
        <w:t>teaching is a rapidly changing environment.  It is critical that faculty stay current in both philosophy and technology that is ever evolving.</w:t>
      </w:r>
      <w:r w:rsidR="00046018" w:rsidRPr="000136A1">
        <w:rPr>
          <w:rFonts w:ascii="Arial" w:hAnsi="Arial" w:cs="Arial"/>
          <w:sz w:val="22"/>
          <w:szCs w:val="22"/>
        </w:rPr>
        <w:t xml:space="preserve">  </w:t>
      </w:r>
      <w:r w:rsidR="00FA2B05" w:rsidRPr="000136A1">
        <w:rPr>
          <w:rFonts w:ascii="Arial" w:hAnsi="Arial" w:cs="Arial"/>
          <w:sz w:val="22"/>
          <w:szCs w:val="22"/>
        </w:rPr>
        <w:t xml:space="preserve">A faculty member will need to maintain certification each year.  </w:t>
      </w:r>
      <w:r w:rsidR="00CB3ED1" w:rsidRPr="000136A1">
        <w:rPr>
          <w:rFonts w:ascii="Arial" w:hAnsi="Arial" w:cs="Arial"/>
          <w:sz w:val="22"/>
          <w:szCs w:val="22"/>
        </w:rPr>
        <w:t xml:space="preserve">Renewal of certification may be contingent upon completion of </w:t>
      </w:r>
      <w:proofErr w:type="gramStart"/>
      <w:r w:rsidR="00CB3ED1" w:rsidRPr="000136A1">
        <w:rPr>
          <w:rFonts w:ascii="Arial" w:hAnsi="Arial" w:cs="Arial"/>
          <w:sz w:val="22"/>
          <w:szCs w:val="22"/>
        </w:rPr>
        <w:t>professional</w:t>
      </w:r>
      <w:proofErr w:type="gramEnd"/>
      <w:r w:rsidR="00CB3ED1" w:rsidRPr="000136A1">
        <w:rPr>
          <w:rFonts w:ascii="Arial" w:hAnsi="Arial" w:cs="Arial"/>
          <w:sz w:val="22"/>
          <w:szCs w:val="22"/>
        </w:rPr>
        <w:t xml:space="preserve"> development activities.  </w:t>
      </w:r>
      <w:r w:rsidR="00FA2B05" w:rsidRPr="000136A1">
        <w:rPr>
          <w:rFonts w:ascii="Arial" w:hAnsi="Arial" w:cs="Arial"/>
          <w:sz w:val="22"/>
          <w:szCs w:val="22"/>
        </w:rPr>
        <w:t xml:space="preserve">It is also crucial that instructors follow </w:t>
      </w:r>
      <w:r w:rsidR="0085661D" w:rsidRPr="000136A1">
        <w:rPr>
          <w:rFonts w:ascii="Arial" w:hAnsi="Arial" w:cs="Arial"/>
          <w:sz w:val="22"/>
          <w:szCs w:val="22"/>
        </w:rPr>
        <w:t>COP 03-0805 General Course Operating Procedures</w:t>
      </w:r>
      <w:r w:rsidR="000136A1">
        <w:rPr>
          <w:rFonts w:ascii="Arial" w:hAnsi="Arial" w:cs="Arial"/>
          <w:sz w:val="22"/>
          <w:szCs w:val="22"/>
        </w:rPr>
        <w:t xml:space="preserve">, </w:t>
      </w:r>
      <w:r w:rsidR="000136A1" w:rsidRPr="000136A1">
        <w:rPr>
          <w:rFonts w:ascii="Arial" w:hAnsi="Arial" w:cs="Arial"/>
          <w:sz w:val="22"/>
          <w:szCs w:val="22"/>
        </w:rPr>
        <w:t>as</w:t>
      </w:r>
      <w:r w:rsidR="00FA2B05" w:rsidRPr="000136A1">
        <w:rPr>
          <w:rFonts w:ascii="Arial" w:hAnsi="Arial" w:cs="Arial"/>
          <w:sz w:val="22"/>
          <w:szCs w:val="22"/>
        </w:rPr>
        <w:t xml:space="preserve"> well any departmental or college requirements.  </w:t>
      </w:r>
    </w:p>
    <w:p w:rsidR="00603DA8" w:rsidRPr="000136A1" w:rsidRDefault="00603DA8" w:rsidP="000136A1">
      <w:pPr>
        <w:jc w:val="both"/>
        <w:rPr>
          <w:rFonts w:ascii="Arial" w:hAnsi="Arial" w:cs="Arial"/>
          <w:sz w:val="22"/>
          <w:szCs w:val="22"/>
        </w:rPr>
      </w:pPr>
    </w:p>
    <w:p w:rsidR="00603DA8" w:rsidRPr="000136A1" w:rsidRDefault="00603DA8" w:rsidP="000136A1">
      <w:pPr>
        <w:tabs>
          <w:tab w:val="left" w:pos="600"/>
        </w:tabs>
        <w:ind w:left="600" w:hanging="600"/>
        <w:jc w:val="both"/>
        <w:rPr>
          <w:rFonts w:ascii="Arial" w:hAnsi="Arial" w:cs="Arial"/>
          <w:b/>
          <w:sz w:val="22"/>
          <w:szCs w:val="22"/>
        </w:rPr>
      </w:pPr>
      <w:r w:rsidRPr="000136A1">
        <w:rPr>
          <w:rFonts w:ascii="Arial" w:hAnsi="Arial" w:cs="Arial"/>
          <w:b/>
          <w:sz w:val="22"/>
          <w:szCs w:val="22"/>
        </w:rPr>
        <w:t>Procedures:</w:t>
      </w:r>
    </w:p>
    <w:p w:rsidR="00B612C2" w:rsidRPr="000136A1" w:rsidRDefault="00B612C2" w:rsidP="000136A1">
      <w:pPr>
        <w:jc w:val="both"/>
        <w:rPr>
          <w:rFonts w:ascii="Arial" w:hAnsi="Arial" w:cs="Arial"/>
          <w:sz w:val="22"/>
          <w:szCs w:val="22"/>
        </w:rPr>
      </w:pPr>
    </w:p>
    <w:p w:rsidR="00B612C2" w:rsidRPr="000136A1" w:rsidRDefault="00CB3ED1" w:rsidP="000136A1">
      <w:pPr>
        <w:numPr>
          <w:ilvl w:val="0"/>
          <w:numId w:val="20"/>
        </w:numPr>
        <w:jc w:val="both"/>
        <w:textAlignment w:val="baseline"/>
        <w:rPr>
          <w:rFonts w:ascii="Arial" w:hAnsi="Arial" w:cs="Arial"/>
          <w:color w:val="000000"/>
          <w:sz w:val="22"/>
          <w:szCs w:val="22"/>
        </w:rPr>
      </w:pPr>
      <w:r w:rsidRPr="000136A1">
        <w:rPr>
          <w:rFonts w:ascii="Arial" w:hAnsi="Arial" w:cs="Arial"/>
          <w:sz w:val="22"/>
          <w:szCs w:val="22"/>
        </w:rPr>
        <w:t xml:space="preserve">Faculty must complete and provide documentation of professional development activities relating to either online pedagogies or online technologies.  Faculty are encouraged to incorporate documentation of professional development activities into their teaching portfolios.  </w:t>
      </w:r>
      <w:r w:rsidR="00AE353C" w:rsidRPr="000136A1">
        <w:rPr>
          <w:rFonts w:ascii="Arial" w:hAnsi="Arial" w:cs="Arial"/>
          <w:sz w:val="22"/>
          <w:szCs w:val="22"/>
        </w:rPr>
        <w:t>A</w:t>
      </w:r>
      <w:r w:rsidR="007E7A4D" w:rsidRPr="000136A1">
        <w:rPr>
          <w:rFonts w:ascii="Arial" w:hAnsi="Arial" w:cs="Arial"/>
          <w:sz w:val="22"/>
          <w:szCs w:val="22"/>
        </w:rPr>
        <w:t>ctivities that will satisfy th</w:t>
      </w:r>
      <w:r w:rsidRPr="000136A1">
        <w:rPr>
          <w:rFonts w:ascii="Arial" w:hAnsi="Arial" w:cs="Arial"/>
          <w:sz w:val="22"/>
          <w:szCs w:val="22"/>
        </w:rPr>
        <w:t>e professional development</w:t>
      </w:r>
      <w:r w:rsidR="007E7A4D" w:rsidRPr="000136A1">
        <w:rPr>
          <w:rFonts w:ascii="Arial" w:hAnsi="Arial" w:cs="Arial"/>
          <w:sz w:val="22"/>
          <w:szCs w:val="22"/>
        </w:rPr>
        <w:t xml:space="preserve"> requirement include but are not limited to</w:t>
      </w:r>
      <w:r w:rsidR="00B612C2" w:rsidRPr="000136A1">
        <w:rPr>
          <w:rFonts w:ascii="Arial" w:hAnsi="Arial" w:cs="Arial"/>
          <w:color w:val="000000"/>
          <w:sz w:val="22"/>
          <w:szCs w:val="22"/>
        </w:rPr>
        <w:t>:</w:t>
      </w:r>
    </w:p>
    <w:p w:rsidR="00B612C2" w:rsidRPr="000136A1" w:rsidRDefault="007E7A4D" w:rsidP="000136A1">
      <w:pPr>
        <w:numPr>
          <w:ilvl w:val="1"/>
          <w:numId w:val="21"/>
        </w:numPr>
        <w:jc w:val="both"/>
        <w:textAlignment w:val="baseline"/>
        <w:rPr>
          <w:rFonts w:ascii="Arial" w:hAnsi="Arial" w:cs="Arial"/>
          <w:color w:val="000000"/>
          <w:sz w:val="22"/>
          <w:szCs w:val="22"/>
        </w:rPr>
      </w:pPr>
      <w:r w:rsidRPr="000136A1">
        <w:rPr>
          <w:rFonts w:ascii="Arial" w:hAnsi="Arial" w:cs="Arial"/>
          <w:color w:val="000000"/>
          <w:sz w:val="22"/>
          <w:szCs w:val="22"/>
        </w:rPr>
        <w:t xml:space="preserve">Participation </w:t>
      </w:r>
      <w:r w:rsidR="00B612C2" w:rsidRPr="000136A1">
        <w:rPr>
          <w:rFonts w:ascii="Arial" w:hAnsi="Arial" w:cs="Arial"/>
          <w:color w:val="000000"/>
          <w:sz w:val="22"/>
          <w:szCs w:val="22"/>
        </w:rPr>
        <w:t xml:space="preserve">in </w:t>
      </w:r>
      <w:r w:rsidR="000136A1" w:rsidRPr="000136A1">
        <w:rPr>
          <w:rFonts w:ascii="Arial" w:hAnsi="Arial" w:cs="Arial"/>
          <w:color w:val="000000"/>
          <w:sz w:val="22"/>
          <w:szCs w:val="22"/>
        </w:rPr>
        <w:t>a professional</w:t>
      </w:r>
      <w:r w:rsidR="004F0E62" w:rsidRPr="000136A1">
        <w:rPr>
          <w:rFonts w:ascii="Arial" w:hAnsi="Arial" w:cs="Arial"/>
          <w:color w:val="000000"/>
          <w:sz w:val="22"/>
          <w:szCs w:val="22"/>
        </w:rPr>
        <w:t xml:space="preserve"> development workshop, webinar</w:t>
      </w:r>
      <w:r w:rsidR="00B612C2" w:rsidRPr="000136A1">
        <w:rPr>
          <w:rFonts w:ascii="Arial" w:hAnsi="Arial" w:cs="Arial"/>
          <w:color w:val="000000"/>
          <w:sz w:val="22"/>
          <w:szCs w:val="22"/>
        </w:rPr>
        <w:t xml:space="preserve">, or course.  </w:t>
      </w:r>
    </w:p>
    <w:p w:rsidR="00B612C2" w:rsidRPr="000136A1" w:rsidRDefault="00B612C2" w:rsidP="000136A1">
      <w:pPr>
        <w:numPr>
          <w:ilvl w:val="1"/>
          <w:numId w:val="21"/>
        </w:numPr>
        <w:jc w:val="both"/>
        <w:textAlignment w:val="baseline"/>
        <w:rPr>
          <w:rFonts w:ascii="Arial" w:hAnsi="Arial" w:cs="Arial"/>
          <w:color w:val="000000"/>
          <w:sz w:val="22"/>
          <w:szCs w:val="22"/>
        </w:rPr>
      </w:pPr>
      <w:r w:rsidRPr="000136A1">
        <w:rPr>
          <w:rFonts w:ascii="Arial" w:hAnsi="Arial" w:cs="Arial"/>
          <w:color w:val="000000"/>
          <w:sz w:val="22"/>
          <w:szCs w:val="22"/>
        </w:rPr>
        <w:t>Attend</w:t>
      </w:r>
      <w:r w:rsidR="007E7A4D" w:rsidRPr="000136A1">
        <w:rPr>
          <w:rFonts w:ascii="Arial" w:hAnsi="Arial" w:cs="Arial"/>
          <w:color w:val="000000"/>
          <w:sz w:val="22"/>
          <w:szCs w:val="22"/>
        </w:rPr>
        <w:t xml:space="preserve">ance </w:t>
      </w:r>
      <w:r w:rsidR="004F0E62" w:rsidRPr="000136A1">
        <w:rPr>
          <w:rFonts w:ascii="Arial" w:hAnsi="Arial" w:cs="Arial"/>
          <w:color w:val="000000"/>
          <w:sz w:val="22"/>
          <w:szCs w:val="22"/>
        </w:rPr>
        <w:t>a</w:t>
      </w:r>
      <w:r w:rsidR="007E7A4D" w:rsidRPr="000136A1">
        <w:rPr>
          <w:rFonts w:ascii="Arial" w:hAnsi="Arial" w:cs="Arial"/>
          <w:color w:val="000000"/>
          <w:sz w:val="22"/>
          <w:szCs w:val="22"/>
        </w:rPr>
        <w:t xml:space="preserve">t </w:t>
      </w:r>
      <w:r w:rsidR="000136A1" w:rsidRPr="000136A1">
        <w:rPr>
          <w:rFonts w:ascii="Arial" w:hAnsi="Arial" w:cs="Arial"/>
          <w:color w:val="000000"/>
          <w:sz w:val="22"/>
          <w:szCs w:val="22"/>
        </w:rPr>
        <w:t>a Faculty</w:t>
      </w:r>
      <w:r w:rsidRPr="000136A1">
        <w:rPr>
          <w:rFonts w:ascii="Arial" w:hAnsi="Arial" w:cs="Arial"/>
          <w:color w:val="000000"/>
          <w:sz w:val="22"/>
          <w:szCs w:val="22"/>
        </w:rPr>
        <w:t xml:space="preserve"> Institute.</w:t>
      </w:r>
    </w:p>
    <w:p w:rsidR="004F0E62" w:rsidRPr="000136A1" w:rsidRDefault="00B612C2" w:rsidP="000136A1">
      <w:pPr>
        <w:numPr>
          <w:ilvl w:val="1"/>
          <w:numId w:val="21"/>
        </w:numPr>
        <w:jc w:val="both"/>
        <w:textAlignment w:val="baseline"/>
        <w:rPr>
          <w:rFonts w:ascii="Arial" w:hAnsi="Arial" w:cs="Arial"/>
          <w:color w:val="000000"/>
          <w:sz w:val="22"/>
          <w:szCs w:val="22"/>
        </w:rPr>
      </w:pPr>
      <w:r w:rsidRPr="000136A1">
        <w:rPr>
          <w:rFonts w:ascii="Arial" w:hAnsi="Arial" w:cs="Arial"/>
          <w:color w:val="000000"/>
          <w:sz w:val="22"/>
          <w:szCs w:val="22"/>
        </w:rPr>
        <w:t>Facilitat</w:t>
      </w:r>
      <w:r w:rsidR="007E7A4D" w:rsidRPr="000136A1">
        <w:rPr>
          <w:rFonts w:ascii="Arial" w:hAnsi="Arial" w:cs="Arial"/>
          <w:color w:val="000000"/>
          <w:sz w:val="22"/>
          <w:szCs w:val="22"/>
        </w:rPr>
        <w:t>ion of</w:t>
      </w:r>
      <w:r w:rsidRPr="000136A1">
        <w:rPr>
          <w:rFonts w:ascii="Arial" w:hAnsi="Arial" w:cs="Arial"/>
          <w:color w:val="000000"/>
          <w:sz w:val="22"/>
          <w:szCs w:val="22"/>
        </w:rPr>
        <w:t xml:space="preserve"> </w:t>
      </w:r>
      <w:r w:rsidR="004F0E62" w:rsidRPr="000136A1">
        <w:rPr>
          <w:rFonts w:ascii="Arial" w:hAnsi="Arial" w:cs="Arial"/>
          <w:color w:val="000000"/>
          <w:sz w:val="22"/>
          <w:szCs w:val="22"/>
        </w:rPr>
        <w:t>a</w:t>
      </w:r>
      <w:r w:rsidRPr="000136A1">
        <w:rPr>
          <w:rFonts w:ascii="Arial" w:hAnsi="Arial" w:cs="Arial"/>
          <w:color w:val="000000"/>
          <w:sz w:val="22"/>
          <w:szCs w:val="22"/>
        </w:rPr>
        <w:t xml:space="preserve"> workshop or </w:t>
      </w:r>
      <w:r w:rsidR="004F0E62" w:rsidRPr="000136A1">
        <w:rPr>
          <w:rFonts w:ascii="Arial" w:hAnsi="Arial" w:cs="Arial"/>
          <w:color w:val="000000"/>
          <w:sz w:val="22"/>
          <w:szCs w:val="22"/>
        </w:rPr>
        <w:t xml:space="preserve">a </w:t>
      </w:r>
      <w:r w:rsidRPr="000136A1">
        <w:rPr>
          <w:rFonts w:ascii="Arial" w:hAnsi="Arial" w:cs="Arial"/>
          <w:color w:val="000000"/>
          <w:sz w:val="22"/>
          <w:szCs w:val="22"/>
        </w:rPr>
        <w:t>webinar for online instructors</w:t>
      </w:r>
      <w:r w:rsidR="004F0E62" w:rsidRPr="000136A1">
        <w:rPr>
          <w:rFonts w:ascii="Arial" w:hAnsi="Arial" w:cs="Arial"/>
          <w:color w:val="000000"/>
          <w:sz w:val="22"/>
          <w:szCs w:val="22"/>
        </w:rPr>
        <w:t>.</w:t>
      </w:r>
    </w:p>
    <w:p w:rsidR="00B612C2" w:rsidRPr="000136A1" w:rsidRDefault="00B612C2" w:rsidP="000136A1">
      <w:pPr>
        <w:numPr>
          <w:ilvl w:val="1"/>
          <w:numId w:val="21"/>
        </w:numPr>
        <w:jc w:val="both"/>
        <w:textAlignment w:val="baseline"/>
        <w:rPr>
          <w:rFonts w:ascii="Arial" w:hAnsi="Arial" w:cs="Arial"/>
          <w:color w:val="000000"/>
          <w:sz w:val="22"/>
          <w:szCs w:val="22"/>
        </w:rPr>
      </w:pPr>
      <w:r w:rsidRPr="000136A1">
        <w:rPr>
          <w:rFonts w:ascii="Arial" w:hAnsi="Arial" w:cs="Arial"/>
          <w:sz w:val="22"/>
          <w:szCs w:val="22"/>
        </w:rPr>
        <w:t>Attend</w:t>
      </w:r>
      <w:r w:rsidR="007E7A4D" w:rsidRPr="000136A1">
        <w:rPr>
          <w:rFonts w:ascii="Arial" w:hAnsi="Arial" w:cs="Arial"/>
          <w:sz w:val="22"/>
          <w:szCs w:val="22"/>
        </w:rPr>
        <w:t>ance at</w:t>
      </w:r>
      <w:r w:rsidRPr="000136A1">
        <w:rPr>
          <w:rFonts w:ascii="Arial" w:hAnsi="Arial" w:cs="Arial"/>
          <w:sz w:val="22"/>
          <w:szCs w:val="22"/>
        </w:rPr>
        <w:t xml:space="preserve"> a conference that has an emphasis on online technology or</w:t>
      </w:r>
      <w:r w:rsidR="009777EB" w:rsidRPr="000136A1">
        <w:rPr>
          <w:rFonts w:ascii="Arial" w:hAnsi="Arial" w:cs="Arial"/>
          <w:sz w:val="22"/>
          <w:szCs w:val="22"/>
        </w:rPr>
        <w:t xml:space="preserve"> online</w:t>
      </w:r>
      <w:r w:rsidRPr="000136A1">
        <w:rPr>
          <w:rFonts w:ascii="Arial" w:hAnsi="Arial" w:cs="Arial"/>
          <w:sz w:val="22"/>
          <w:szCs w:val="22"/>
        </w:rPr>
        <w:t xml:space="preserve"> pedagogy.</w:t>
      </w:r>
    </w:p>
    <w:p w:rsidR="00B612C2" w:rsidRPr="000136A1" w:rsidRDefault="007E7A4D" w:rsidP="000136A1">
      <w:pPr>
        <w:numPr>
          <w:ilvl w:val="1"/>
          <w:numId w:val="21"/>
        </w:numPr>
        <w:jc w:val="both"/>
        <w:rPr>
          <w:rFonts w:ascii="Arial" w:hAnsi="Arial" w:cs="Arial"/>
          <w:sz w:val="22"/>
          <w:szCs w:val="22"/>
        </w:rPr>
      </w:pPr>
      <w:r w:rsidRPr="000136A1">
        <w:rPr>
          <w:rFonts w:ascii="Arial" w:hAnsi="Arial" w:cs="Arial"/>
          <w:sz w:val="22"/>
          <w:szCs w:val="22"/>
        </w:rPr>
        <w:t>Completi</w:t>
      </w:r>
      <w:r w:rsidR="002E24F7" w:rsidRPr="000136A1">
        <w:rPr>
          <w:rFonts w:ascii="Arial" w:hAnsi="Arial" w:cs="Arial"/>
          <w:sz w:val="22"/>
          <w:szCs w:val="22"/>
        </w:rPr>
        <w:t>on of</w:t>
      </w:r>
      <w:r w:rsidR="00B612C2" w:rsidRPr="000136A1">
        <w:rPr>
          <w:rFonts w:ascii="Arial" w:hAnsi="Arial" w:cs="Arial"/>
          <w:sz w:val="22"/>
          <w:szCs w:val="22"/>
        </w:rPr>
        <w:t xml:space="preserve"> a course in distance le</w:t>
      </w:r>
      <w:bookmarkStart w:id="0" w:name="_GoBack"/>
      <w:bookmarkEnd w:id="0"/>
      <w:r w:rsidR="00B612C2" w:rsidRPr="000136A1">
        <w:rPr>
          <w:rFonts w:ascii="Arial" w:hAnsi="Arial" w:cs="Arial"/>
          <w:sz w:val="22"/>
          <w:szCs w:val="22"/>
        </w:rPr>
        <w:t>arning, online instruction or technology.</w:t>
      </w:r>
    </w:p>
    <w:p w:rsidR="00B612C2" w:rsidRPr="000136A1" w:rsidRDefault="002E24F7" w:rsidP="000136A1">
      <w:pPr>
        <w:numPr>
          <w:ilvl w:val="0"/>
          <w:numId w:val="20"/>
        </w:numPr>
        <w:jc w:val="both"/>
        <w:rPr>
          <w:rFonts w:ascii="Arial" w:hAnsi="Arial" w:cs="Arial"/>
          <w:sz w:val="22"/>
          <w:szCs w:val="22"/>
        </w:rPr>
      </w:pPr>
      <w:r w:rsidRPr="000136A1">
        <w:rPr>
          <w:rFonts w:ascii="Arial" w:hAnsi="Arial" w:cs="Arial"/>
          <w:sz w:val="22"/>
          <w:szCs w:val="22"/>
        </w:rPr>
        <w:t>Faculty must s</w:t>
      </w:r>
      <w:r w:rsidR="00B612C2" w:rsidRPr="000136A1">
        <w:rPr>
          <w:rFonts w:ascii="Arial" w:hAnsi="Arial" w:cs="Arial"/>
          <w:sz w:val="22"/>
          <w:szCs w:val="22"/>
        </w:rPr>
        <w:t xml:space="preserve">atisfactorily adhere to COP 03-0805 </w:t>
      </w:r>
      <w:r w:rsidR="000136A1" w:rsidRPr="000136A1">
        <w:rPr>
          <w:rFonts w:ascii="Arial" w:hAnsi="Arial" w:cs="Arial"/>
          <w:sz w:val="22"/>
          <w:szCs w:val="22"/>
        </w:rPr>
        <w:t>of General</w:t>
      </w:r>
      <w:r w:rsidR="00B612C2" w:rsidRPr="000136A1">
        <w:rPr>
          <w:rFonts w:ascii="Arial" w:hAnsi="Arial" w:cs="Arial"/>
          <w:sz w:val="22"/>
          <w:szCs w:val="22"/>
        </w:rPr>
        <w:t xml:space="preserve"> Course Operating Procedures for online</w:t>
      </w:r>
      <w:r w:rsidR="0085661D" w:rsidRPr="000136A1">
        <w:rPr>
          <w:rFonts w:ascii="Arial" w:hAnsi="Arial" w:cs="Arial"/>
          <w:sz w:val="22"/>
          <w:szCs w:val="22"/>
        </w:rPr>
        <w:t xml:space="preserve"> and blended</w:t>
      </w:r>
      <w:r w:rsidR="00B612C2" w:rsidRPr="000136A1">
        <w:rPr>
          <w:rFonts w:ascii="Arial" w:hAnsi="Arial" w:cs="Arial"/>
          <w:sz w:val="22"/>
          <w:szCs w:val="22"/>
        </w:rPr>
        <w:t xml:space="preserve"> courses.</w:t>
      </w:r>
    </w:p>
    <w:p w:rsidR="00BE2F73" w:rsidRPr="00BC78A9" w:rsidRDefault="002E24F7" w:rsidP="000136A1">
      <w:pPr>
        <w:numPr>
          <w:ilvl w:val="0"/>
          <w:numId w:val="20"/>
        </w:numPr>
        <w:jc w:val="both"/>
        <w:rPr>
          <w:rFonts w:ascii="Arial" w:hAnsi="Arial" w:cs="Arial"/>
          <w:sz w:val="22"/>
          <w:szCs w:val="22"/>
        </w:rPr>
      </w:pPr>
      <w:r w:rsidRPr="000136A1">
        <w:rPr>
          <w:rFonts w:ascii="Arial" w:hAnsi="Arial" w:cs="Arial"/>
          <w:sz w:val="22"/>
          <w:szCs w:val="22"/>
        </w:rPr>
        <w:t>Faculty must m</w:t>
      </w:r>
      <w:r w:rsidR="00BE2F73" w:rsidRPr="000136A1">
        <w:rPr>
          <w:rFonts w:ascii="Arial" w:hAnsi="Arial" w:cs="Arial"/>
          <w:sz w:val="22"/>
          <w:szCs w:val="22"/>
        </w:rPr>
        <w:t xml:space="preserve">eet </w:t>
      </w:r>
      <w:proofErr w:type="gramStart"/>
      <w:r w:rsidR="00BE2F73" w:rsidRPr="000136A1">
        <w:rPr>
          <w:rFonts w:ascii="Arial" w:hAnsi="Arial" w:cs="Arial"/>
          <w:sz w:val="22"/>
          <w:szCs w:val="22"/>
        </w:rPr>
        <w:t>any and all</w:t>
      </w:r>
      <w:proofErr w:type="gramEnd"/>
      <w:r w:rsidR="00BE2F73" w:rsidRPr="000136A1">
        <w:rPr>
          <w:rFonts w:ascii="Arial" w:hAnsi="Arial" w:cs="Arial"/>
          <w:sz w:val="22"/>
          <w:szCs w:val="22"/>
        </w:rPr>
        <w:t xml:space="preserve"> departmental or college-wide academic</w:t>
      </w:r>
      <w:r w:rsidR="00BE2F73" w:rsidRPr="00BC78A9">
        <w:rPr>
          <w:rFonts w:ascii="Arial" w:hAnsi="Arial" w:cs="Arial"/>
          <w:sz w:val="22"/>
          <w:szCs w:val="22"/>
        </w:rPr>
        <w:t xml:space="preserve"> requirements.</w:t>
      </w:r>
    </w:p>
    <w:sectPr w:rsidR="00BE2F73" w:rsidRPr="00BC78A9" w:rsidSect="00E96957">
      <w:headerReference w:type="default" r:id="rId8"/>
      <w:headerReference w:type="first" r:id="rId9"/>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CBF" w:rsidRDefault="00BB2CBF" w:rsidP="005539C1">
      <w:r>
        <w:separator/>
      </w:r>
    </w:p>
  </w:endnote>
  <w:endnote w:type="continuationSeparator" w:id="0">
    <w:p w:rsidR="00BB2CBF" w:rsidRDefault="00BB2CBF" w:rsidP="005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CBF" w:rsidRDefault="00BB2CBF" w:rsidP="005539C1">
      <w:r>
        <w:separator/>
      </w:r>
    </w:p>
  </w:footnote>
  <w:footnote w:type="continuationSeparator" w:id="0">
    <w:p w:rsidR="00BB2CBF" w:rsidRDefault="00BB2CBF" w:rsidP="0055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ED1" w:rsidRDefault="00CB3ED1" w:rsidP="00D50078">
    <w:pPr>
      <w:pStyle w:val="Header"/>
    </w:pPr>
    <w:r>
      <w:t>College Operating Procedures Manual</w:t>
    </w:r>
  </w:p>
  <w:p w:rsidR="00CB3ED1" w:rsidRPr="004967BE" w:rsidRDefault="004967BE" w:rsidP="00D50078">
    <w:pPr>
      <w:pStyle w:val="Header"/>
    </w:pPr>
    <w:r w:rsidRPr="0085661D">
      <w:rPr>
        <w:i/>
        <w:color w:val="FF0000"/>
      </w:rPr>
      <w:t xml:space="preserve"> </w:t>
    </w:r>
    <w:r w:rsidR="0085661D">
      <w:rPr>
        <w:i/>
        <w:color w:val="FF0000"/>
      </w:rPr>
      <w:t xml:space="preserve">Renewal of Faculty Certification for Online and Blended Instruction. </w:t>
    </w:r>
  </w:p>
  <w:p w:rsidR="00CB3ED1" w:rsidRDefault="00CB3ED1" w:rsidP="00D50078">
    <w:pPr>
      <w:pStyle w:val="Header"/>
      <w:rPr>
        <w:rStyle w:val="PageNumber"/>
      </w:rPr>
    </w:pPr>
    <w:r>
      <w:t xml:space="preserve">Page </w:t>
    </w:r>
    <w:r w:rsidR="005D3484">
      <w:fldChar w:fldCharType="begin"/>
    </w:r>
    <w:r>
      <w:instrText xml:space="preserve"> PAGE   \* MERGEFORMAT </w:instrText>
    </w:r>
    <w:r w:rsidR="005D3484">
      <w:fldChar w:fldCharType="separate"/>
    </w:r>
    <w:r w:rsidR="00FD5A30">
      <w:rPr>
        <w:noProof/>
      </w:rPr>
      <w:t>2</w:t>
    </w:r>
    <w:r w:rsidR="005D3484">
      <w:rPr>
        <w:noProof/>
      </w:rPr>
      <w:fldChar w:fldCharType="end"/>
    </w:r>
  </w:p>
  <w:p w:rsidR="00CB3ED1" w:rsidRDefault="00CB3ED1" w:rsidP="00D50078">
    <w:pPr>
      <w:pStyle w:val="Header"/>
    </w:pPr>
  </w:p>
  <w:p w:rsidR="00CB3ED1" w:rsidRDefault="00CB3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410"/>
    </w:tblGrid>
    <w:tr w:rsidR="00AD20CD" w:rsidRPr="00DB6217" w:rsidTr="00F35431">
      <w:trPr>
        <w:trHeight w:val="1520"/>
      </w:trPr>
      <w:tc>
        <w:tcPr>
          <w:tcW w:w="5395" w:type="dxa"/>
        </w:tcPr>
        <w:p w:rsidR="00AD20CD" w:rsidRDefault="00AD20CD" w:rsidP="00AD20CD">
          <w:pPr>
            <w:pStyle w:val="Default"/>
          </w:pPr>
        </w:p>
        <w:p w:rsidR="00AD20CD" w:rsidRPr="004952FE" w:rsidRDefault="00AD20CD" w:rsidP="00AD20CD">
          <w:pPr>
            <w:pStyle w:val="Header"/>
            <w:rPr>
              <w:rFonts w:ascii="Arial" w:hAnsi="Arial" w:cs="Arial"/>
              <w:sz w:val="28"/>
              <w:szCs w:val="28"/>
            </w:rPr>
          </w:pPr>
          <w:r>
            <w:t xml:space="preserve"> </w:t>
          </w:r>
        </w:p>
        <w:p w:rsidR="00AD20CD" w:rsidRPr="00DB6217" w:rsidRDefault="00AD20CD" w:rsidP="00AD20CD">
          <w:pPr>
            <w:pStyle w:val="Header"/>
            <w:jc w:val="center"/>
            <w:rPr>
              <w:b/>
              <w:bCs/>
              <w:sz w:val="16"/>
              <w:szCs w:val="16"/>
            </w:rPr>
          </w:pPr>
          <w:r w:rsidRPr="004952FE">
            <w:rPr>
              <w:rFonts w:ascii="Arial" w:hAnsi="Arial" w:cs="Arial"/>
              <w:b/>
              <w:bCs/>
              <w:sz w:val="28"/>
              <w:szCs w:val="28"/>
            </w:rPr>
            <w:t>College Operating Procedures (COP)</w:t>
          </w:r>
        </w:p>
      </w:tc>
      <w:tc>
        <w:tcPr>
          <w:tcW w:w="4410" w:type="dxa"/>
        </w:tcPr>
        <w:p w:rsidR="00AD20CD" w:rsidRPr="00DB6217" w:rsidRDefault="00AD20CD" w:rsidP="00AD20CD">
          <w:pPr>
            <w:pStyle w:val="Header"/>
            <w:tabs>
              <w:tab w:val="left" w:pos="762"/>
            </w:tabs>
            <w:rPr>
              <w:b/>
              <w:bCs/>
              <w:sz w:val="28"/>
            </w:rPr>
          </w:pPr>
          <w:r w:rsidRPr="00D563A3">
            <w:rPr>
              <w:b/>
              <w:bCs/>
              <w:noProof/>
              <w:sz w:val="28"/>
            </w:rPr>
            <w:drawing>
              <wp:inline distT="0" distB="0" distL="0" distR="0">
                <wp:extent cx="2600325" cy="91106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3974" cy="926356"/>
                        </a:xfrm>
                        <a:prstGeom prst="rect">
                          <a:avLst/>
                        </a:prstGeom>
                        <a:noFill/>
                        <a:ln>
                          <a:noFill/>
                        </a:ln>
                      </pic:spPr>
                    </pic:pic>
                  </a:graphicData>
                </a:graphic>
              </wp:inline>
            </w:drawing>
          </w:r>
        </w:p>
      </w:tc>
    </w:tr>
  </w:tbl>
  <w:p w:rsidR="00CB3ED1" w:rsidRDefault="00CB3ED1" w:rsidP="00560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C29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3" w15:restartNumberingAfterBreak="0">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B16AFF"/>
    <w:multiLevelType w:val="multilevel"/>
    <w:tmpl w:val="FE0CDA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rFonts w:cs="Times New Roman"/>
      </w:rPr>
    </w:lvl>
    <w:lvl w:ilvl="4">
      <w:start w:val="1"/>
      <w:numFmt w:val="decimal"/>
      <w:lvlText w:val="(%5)"/>
      <w:lvlJc w:val="left"/>
      <w:pPr>
        <w:tabs>
          <w:tab w:val="num" w:pos="2520"/>
        </w:tabs>
        <w:ind w:left="2232" w:hanging="792"/>
      </w:pPr>
      <w:rPr>
        <w:rFonts w:cs="Times New Roman"/>
      </w:rPr>
    </w:lvl>
    <w:lvl w:ilvl="5">
      <w:start w:val="1"/>
      <w:numFmt w:val="lowerLetter"/>
      <w:lvlText w:val="(%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7060F78"/>
    <w:multiLevelType w:val="hybridMultilevel"/>
    <w:tmpl w:val="771E17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7C0560"/>
    <w:multiLevelType w:val="hybridMultilevel"/>
    <w:tmpl w:val="AFBE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CE222B4"/>
    <w:multiLevelType w:val="multilevel"/>
    <w:tmpl w:val="FE0CDA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rFonts w:cs="Times New Roman"/>
      </w:rPr>
    </w:lvl>
    <w:lvl w:ilvl="4">
      <w:start w:val="1"/>
      <w:numFmt w:val="decimal"/>
      <w:lvlText w:val="(%5)"/>
      <w:lvlJc w:val="left"/>
      <w:pPr>
        <w:tabs>
          <w:tab w:val="num" w:pos="2520"/>
        </w:tabs>
        <w:ind w:left="2232" w:hanging="792"/>
      </w:pPr>
      <w:rPr>
        <w:rFonts w:cs="Times New Roman"/>
      </w:rPr>
    </w:lvl>
    <w:lvl w:ilvl="5">
      <w:start w:val="1"/>
      <w:numFmt w:val="lowerLetter"/>
      <w:lvlText w:val="(%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FF33D9C"/>
    <w:multiLevelType w:val="multilevel"/>
    <w:tmpl w:val="FE0CDA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rFonts w:cs="Times New Roman"/>
      </w:rPr>
    </w:lvl>
    <w:lvl w:ilvl="4">
      <w:start w:val="1"/>
      <w:numFmt w:val="decimal"/>
      <w:lvlText w:val="(%5)"/>
      <w:lvlJc w:val="left"/>
      <w:pPr>
        <w:tabs>
          <w:tab w:val="num" w:pos="2520"/>
        </w:tabs>
        <w:ind w:left="2232" w:hanging="792"/>
      </w:pPr>
      <w:rPr>
        <w:rFonts w:cs="Times New Roman"/>
      </w:rPr>
    </w:lvl>
    <w:lvl w:ilvl="5">
      <w:start w:val="1"/>
      <w:numFmt w:val="lowerLetter"/>
      <w:lvlText w:val="(%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34F2615"/>
    <w:multiLevelType w:val="multilevel"/>
    <w:tmpl w:val="434073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6272A9"/>
    <w:multiLevelType w:val="hybridMultilevel"/>
    <w:tmpl w:val="E668E8D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6DE7193"/>
    <w:multiLevelType w:val="hybridMultilevel"/>
    <w:tmpl w:val="C3EE2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602F96"/>
    <w:multiLevelType w:val="multilevel"/>
    <w:tmpl w:val="952AD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2"/>
  </w:num>
  <w:num w:numId="4">
    <w:abstractNumId w:val="0"/>
  </w:num>
  <w:num w:numId="5">
    <w:abstractNumId w:val="3"/>
  </w:num>
  <w:num w:numId="6">
    <w:abstractNumId w:val="13"/>
  </w:num>
  <w:num w:numId="7">
    <w:abstractNumId w:val="4"/>
  </w:num>
  <w:num w:numId="8">
    <w:abstractNumId w:val="5"/>
  </w:num>
  <w:num w:numId="9">
    <w:abstractNumId w:val="19"/>
  </w:num>
  <w:num w:numId="10">
    <w:abstractNumId w:val="11"/>
  </w:num>
  <w:num w:numId="11">
    <w:abstractNumId w:val="17"/>
  </w:num>
  <w:num w:numId="12">
    <w:abstractNumId w:val="12"/>
  </w:num>
  <w:num w:numId="13">
    <w:abstractNumId w:val="16"/>
  </w:num>
  <w:num w:numId="14">
    <w:abstractNumId w:val="7"/>
  </w:num>
  <w:num w:numId="15">
    <w:abstractNumId w:val="8"/>
  </w:num>
  <w:num w:numId="16">
    <w:abstractNumId w:val="14"/>
  </w:num>
  <w:num w:numId="17">
    <w:abstractNumId w:val="1"/>
  </w:num>
  <w:num w:numId="18">
    <w:abstractNumId w:val="6"/>
  </w:num>
  <w:num w:numId="19">
    <w:abstractNumId w:val="1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4C"/>
    <w:rsid w:val="00002517"/>
    <w:rsid w:val="000136A1"/>
    <w:rsid w:val="00013827"/>
    <w:rsid w:val="0002031A"/>
    <w:rsid w:val="000212E0"/>
    <w:rsid w:val="000316A6"/>
    <w:rsid w:val="00046018"/>
    <w:rsid w:val="00060081"/>
    <w:rsid w:val="00064C38"/>
    <w:rsid w:val="00065341"/>
    <w:rsid w:val="00066C84"/>
    <w:rsid w:val="00067F79"/>
    <w:rsid w:val="00075859"/>
    <w:rsid w:val="00083CDE"/>
    <w:rsid w:val="000A5E2D"/>
    <w:rsid w:val="000C0BF8"/>
    <w:rsid w:val="000C70F6"/>
    <w:rsid w:val="00111798"/>
    <w:rsid w:val="00116CF9"/>
    <w:rsid w:val="00161877"/>
    <w:rsid w:val="001757E8"/>
    <w:rsid w:val="001934FF"/>
    <w:rsid w:val="001A4725"/>
    <w:rsid w:val="001A5E1B"/>
    <w:rsid w:val="001C3BF9"/>
    <w:rsid w:val="001C3D06"/>
    <w:rsid w:val="001D03EB"/>
    <w:rsid w:val="001D7405"/>
    <w:rsid w:val="00210AFE"/>
    <w:rsid w:val="00253695"/>
    <w:rsid w:val="00274166"/>
    <w:rsid w:val="002C09A4"/>
    <w:rsid w:val="002C30B3"/>
    <w:rsid w:val="002C56DE"/>
    <w:rsid w:val="002E24F7"/>
    <w:rsid w:val="003113BA"/>
    <w:rsid w:val="00326E2F"/>
    <w:rsid w:val="00375650"/>
    <w:rsid w:val="00380706"/>
    <w:rsid w:val="003C57A9"/>
    <w:rsid w:val="003D11F1"/>
    <w:rsid w:val="003E154B"/>
    <w:rsid w:val="00412E4C"/>
    <w:rsid w:val="00425FD7"/>
    <w:rsid w:val="0045070E"/>
    <w:rsid w:val="00481E3D"/>
    <w:rsid w:val="00490648"/>
    <w:rsid w:val="004952FE"/>
    <w:rsid w:val="004967BE"/>
    <w:rsid w:val="004A5E13"/>
    <w:rsid w:val="004A6EFF"/>
    <w:rsid w:val="004D1D89"/>
    <w:rsid w:val="004E6E67"/>
    <w:rsid w:val="004F0E62"/>
    <w:rsid w:val="005015A7"/>
    <w:rsid w:val="005144A7"/>
    <w:rsid w:val="0054681A"/>
    <w:rsid w:val="005539C1"/>
    <w:rsid w:val="0056070E"/>
    <w:rsid w:val="00564D02"/>
    <w:rsid w:val="0057032D"/>
    <w:rsid w:val="00585D53"/>
    <w:rsid w:val="005A50A4"/>
    <w:rsid w:val="005C263F"/>
    <w:rsid w:val="005D3484"/>
    <w:rsid w:val="005F36BD"/>
    <w:rsid w:val="00603CC2"/>
    <w:rsid w:val="00603DA8"/>
    <w:rsid w:val="0063153B"/>
    <w:rsid w:val="006901DE"/>
    <w:rsid w:val="00693633"/>
    <w:rsid w:val="00697501"/>
    <w:rsid w:val="006B222C"/>
    <w:rsid w:val="006D0657"/>
    <w:rsid w:val="006D70B4"/>
    <w:rsid w:val="006E794C"/>
    <w:rsid w:val="006F1417"/>
    <w:rsid w:val="007033C8"/>
    <w:rsid w:val="00704C54"/>
    <w:rsid w:val="007055CF"/>
    <w:rsid w:val="0071523A"/>
    <w:rsid w:val="007277EC"/>
    <w:rsid w:val="007640BC"/>
    <w:rsid w:val="00780AE0"/>
    <w:rsid w:val="007A22D3"/>
    <w:rsid w:val="007A36B7"/>
    <w:rsid w:val="007B2540"/>
    <w:rsid w:val="007E4191"/>
    <w:rsid w:val="007E7A4D"/>
    <w:rsid w:val="00811D4A"/>
    <w:rsid w:val="008407D3"/>
    <w:rsid w:val="0085661D"/>
    <w:rsid w:val="0087134D"/>
    <w:rsid w:val="00897161"/>
    <w:rsid w:val="008F79E7"/>
    <w:rsid w:val="00903DF7"/>
    <w:rsid w:val="00920FD8"/>
    <w:rsid w:val="00957BAD"/>
    <w:rsid w:val="0096462A"/>
    <w:rsid w:val="0097628B"/>
    <w:rsid w:val="009777EB"/>
    <w:rsid w:val="00980509"/>
    <w:rsid w:val="0098569C"/>
    <w:rsid w:val="00993D5E"/>
    <w:rsid w:val="009C6B6D"/>
    <w:rsid w:val="009D3E44"/>
    <w:rsid w:val="00A3014F"/>
    <w:rsid w:val="00A52C08"/>
    <w:rsid w:val="00A94C56"/>
    <w:rsid w:val="00A9692C"/>
    <w:rsid w:val="00AA776A"/>
    <w:rsid w:val="00AC18DB"/>
    <w:rsid w:val="00AC6835"/>
    <w:rsid w:val="00AD20CD"/>
    <w:rsid w:val="00AE353C"/>
    <w:rsid w:val="00AF6548"/>
    <w:rsid w:val="00B1404C"/>
    <w:rsid w:val="00B153CE"/>
    <w:rsid w:val="00B43C17"/>
    <w:rsid w:val="00B54D86"/>
    <w:rsid w:val="00B612C2"/>
    <w:rsid w:val="00B61D7B"/>
    <w:rsid w:val="00B769AB"/>
    <w:rsid w:val="00B81996"/>
    <w:rsid w:val="00B95DF8"/>
    <w:rsid w:val="00BA4A5F"/>
    <w:rsid w:val="00BB2CBF"/>
    <w:rsid w:val="00BC7485"/>
    <w:rsid w:val="00BC78A9"/>
    <w:rsid w:val="00BE2BAE"/>
    <w:rsid w:val="00BE2F73"/>
    <w:rsid w:val="00BE5D84"/>
    <w:rsid w:val="00C07AF1"/>
    <w:rsid w:val="00C14A59"/>
    <w:rsid w:val="00C21A00"/>
    <w:rsid w:val="00C22B0D"/>
    <w:rsid w:val="00C3342A"/>
    <w:rsid w:val="00C3609F"/>
    <w:rsid w:val="00C532DB"/>
    <w:rsid w:val="00C63BCB"/>
    <w:rsid w:val="00C706FF"/>
    <w:rsid w:val="00C827AE"/>
    <w:rsid w:val="00C9145A"/>
    <w:rsid w:val="00CA0343"/>
    <w:rsid w:val="00CB3ED1"/>
    <w:rsid w:val="00CD5F1A"/>
    <w:rsid w:val="00D42119"/>
    <w:rsid w:val="00D43B2A"/>
    <w:rsid w:val="00D50078"/>
    <w:rsid w:val="00D71D5B"/>
    <w:rsid w:val="00D803B4"/>
    <w:rsid w:val="00DA2635"/>
    <w:rsid w:val="00DB57EF"/>
    <w:rsid w:val="00DB6217"/>
    <w:rsid w:val="00DC425D"/>
    <w:rsid w:val="00DD12B0"/>
    <w:rsid w:val="00DD1FAF"/>
    <w:rsid w:val="00DF54C6"/>
    <w:rsid w:val="00DF7363"/>
    <w:rsid w:val="00E131ED"/>
    <w:rsid w:val="00E21193"/>
    <w:rsid w:val="00E23C02"/>
    <w:rsid w:val="00E31F43"/>
    <w:rsid w:val="00E37764"/>
    <w:rsid w:val="00E42DFA"/>
    <w:rsid w:val="00E4718C"/>
    <w:rsid w:val="00E52BFB"/>
    <w:rsid w:val="00E62E69"/>
    <w:rsid w:val="00E66DB9"/>
    <w:rsid w:val="00E77C9E"/>
    <w:rsid w:val="00E84F80"/>
    <w:rsid w:val="00E93D25"/>
    <w:rsid w:val="00E9670B"/>
    <w:rsid w:val="00E96957"/>
    <w:rsid w:val="00EB3F00"/>
    <w:rsid w:val="00EB54FC"/>
    <w:rsid w:val="00ED054E"/>
    <w:rsid w:val="00ED0E43"/>
    <w:rsid w:val="00EE272E"/>
    <w:rsid w:val="00EF32C2"/>
    <w:rsid w:val="00F1446E"/>
    <w:rsid w:val="00F22180"/>
    <w:rsid w:val="00F32830"/>
    <w:rsid w:val="00F6240C"/>
    <w:rsid w:val="00F7677A"/>
    <w:rsid w:val="00FA2B05"/>
    <w:rsid w:val="00FD5A30"/>
    <w:rsid w:val="00FE2FD2"/>
    <w:rsid w:val="00FE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CA3221-2CFC-408B-9EEE-2473523B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B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E4C"/>
    <w:rPr>
      <w:color w:val="665905"/>
      <w:u w:val="single"/>
    </w:rPr>
  </w:style>
  <w:style w:type="paragraph" w:styleId="NormalWeb">
    <w:name w:val="Normal (Web)"/>
    <w:basedOn w:val="Normal"/>
    <w:uiPriority w:val="99"/>
    <w:rsid w:val="00412E4C"/>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412E4C"/>
  </w:style>
  <w:style w:type="character" w:styleId="Strong">
    <w:name w:val="Strong"/>
    <w:basedOn w:val="DefaultParagraphFont"/>
    <w:qFormat/>
    <w:rsid w:val="00412E4C"/>
    <w:rPr>
      <w:b/>
      <w:bCs/>
    </w:rPr>
  </w:style>
  <w:style w:type="table" w:styleId="TableGrid">
    <w:name w:val="Table Grid"/>
    <w:basedOn w:val="TableNormal"/>
    <w:rsid w:val="0041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9C1"/>
    <w:pPr>
      <w:tabs>
        <w:tab w:val="center" w:pos="4680"/>
        <w:tab w:val="right" w:pos="9360"/>
      </w:tabs>
    </w:pPr>
  </w:style>
  <w:style w:type="character" w:customStyle="1" w:styleId="HeaderChar">
    <w:name w:val="Header Char"/>
    <w:basedOn w:val="DefaultParagraphFont"/>
    <w:link w:val="Header"/>
    <w:uiPriority w:val="99"/>
    <w:rsid w:val="005539C1"/>
    <w:rPr>
      <w:sz w:val="24"/>
      <w:szCs w:val="24"/>
    </w:rPr>
  </w:style>
  <w:style w:type="paragraph" w:styleId="Footer">
    <w:name w:val="footer"/>
    <w:basedOn w:val="Normal"/>
    <w:link w:val="FooterChar"/>
    <w:uiPriority w:val="99"/>
    <w:rsid w:val="005539C1"/>
    <w:pPr>
      <w:tabs>
        <w:tab w:val="center" w:pos="4680"/>
        <w:tab w:val="right" w:pos="9360"/>
      </w:tabs>
    </w:pPr>
  </w:style>
  <w:style w:type="character" w:customStyle="1" w:styleId="FooterChar">
    <w:name w:val="Footer Char"/>
    <w:basedOn w:val="DefaultParagraphFont"/>
    <w:link w:val="Footer"/>
    <w:uiPriority w:val="99"/>
    <w:rsid w:val="005539C1"/>
    <w:rPr>
      <w:sz w:val="24"/>
      <w:szCs w:val="24"/>
    </w:rPr>
  </w:style>
  <w:style w:type="paragraph" w:styleId="NoSpacing">
    <w:name w:val="No Spacing"/>
    <w:link w:val="NoSpacingChar"/>
    <w:uiPriority w:val="1"/>
    <w:qFormat/>
    <w:rsid w:val="005539C1"/>
    <w:rPr>
      <w:rFonts w:ascii="Calibri" w:hAnsi="Calibri"/>
      <w:sz w:val="22"/>
      <w:szCs w:val="22"/>
    </w:rPr>
  </w:style>
  <w:style w:type="character" w:customStyle="1" w:styleId="NoSpacingChar">
    <w:name w:val="No Spacing Char"/>
    <w:basedOn w:val="DefaultParagraphFont"/>
    <w:link w:val="NoSpacing"/>
    <w:uiPriority w:val="1"/>
    <w:rsid w:val="005539C1"/>
    <w:rPr>
      <w:rFonts w:ascii="Calibri" w:hAnsi="Calibri"/>
      <w:sz w:val="22"/>
      <w:szCs w:val="22"/>
      <w:lang w:val="en-US" w:eastAsia="en-US" w:bidi="ar-SA"/>
    </w:rPr>
  </w:style>
  <w:style w:type="paragraph" w:styleId="BalloonText">
    <w:name w:val="Balloon Text"/>
    <w:basedOn w:val="Normal"/>
    <w:link w:val="BalloonTextChar"/>
    <w:rsid w:val="001A4725"/>
    <w:rPr>
      <w:rFonts w:ascii="Tahoma" w:hAnsi="Tahoma" w:cs="Tahoma"/>
      <w:sz w:val="16"/>
      <w:szCs w:val="16"/>
    </w:rPr>
  </w:style>
  <w:style w:type="character" w:customStyle="1" w:styleId="BalloonTextChar">
    <w:name w:val="Balloon Text Char"/>
    <w:basedOn w:val="DefaultParagraphFont"/>
    <w:link w:val="BalloonText"/>
    <w:rsid w:val="001A4725"/>
    <w:rPr>
      <w:rFonts w:ascii="Tahoma" w:hAnsi="Tahoma" w:cs="Tahoma"/>
      <w:sz w:val="16"/>
      <w:szCs w:val="16"/>
    </w:rPr>
  </w:style>
  <w:style w:type="character" w:styleId="PageNumber">
    <w:name w:val="page number"/>
    <w:basedOn w:val="DefaultParagraphFont"/>
    <w:rsid w:val="006901DE"/>
  </w:style>
  <w:style w:type="paragraph" w:styleId="ListParagraph">
    <w:name w:val="List Paragraph"/>
    <w:basedOn w:val="Normal"/>
    <w:qFormat/>
    <w:rsid w:val="00AA776A"/>
    <w:pPr>
      <w:ind w:left="720"/>
    </w:pPr>
    <w:rPr>
      <w:rFonts w:ascii="Garamond" w:hAnsi="Garamond"/>
      <w:szCs w:val="22"/>
    </w:rPr>
  </w:style>
  <w:style w:type="paragraph" w:customStyle="1" w:styleId="Default">
    <w:name w:val="Default"/>
    <w:rsid w:val="00AD20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3316">
      <w:bodyDiv w:val="1"/>
      <w:marLeft w:val="250"/>
      <w:marRight w:val="250"/>
      <w:marTop w:val="0"/>
      <w:marBottom w:val="0"/>
      <w:divBdr>
        <w:top w:val="none" w:sz="0" w:space="0" w:color="auto"/>
        <w:left w:val="none" w:sz="0" w:space="0" w:color="auto"/>
        <w:bottom w:val="none" w:sz="0" w:space="0" w:color="auto"/>
        <w:right w:val="none" w:sz="0" w:space="0" w:color="auto"/>
      </w:divBdr>
      <w:divsChild>
        <w:div w:id="724453395">
          <w:marLeft w:val="0"/>
          <w:marRight w:val="0"/>
          <w:marTop w:val="0"/>
          <w:marBottom w:val="0"/>
          <w:divBdr>
            <w:top w:val="none" w:sz="0" w:space="0" w:color="auto"/>
            <w:left w:val="none" w:sz="0" w:space="0" w:color="auto"/>
            <w:bottom w:val="none" w:sz="0" w:space="0" w:color="auto"/>
            <w:right w:val="none" w:sz="0" w:space="0" w:color="auto"/>
          </w:divBdr>
        </w:div>
      </w:divsChild>
    </w:div>
    <w:div w:id="895820772">
      <w:bodyDiv w:val="1"/>
      <w:marLeft w:val="0"/>
      <w:marRight w:val="0"/>
      <w:marTop w:val="0"/>
      <w:marBottom w:val="0"/>
      <w:divBdr>
        <w:top w:val="none" w:sz="0" w:space="0" w:color="auto"/>
        <w:left w:val="none" w:sz="0" w:space="0" w:color="auto"/>
        <w:bottom w:val="none" w:sz="0" w:space="0" w:color="auto"/>
        <w:right w:val="none" w:sz="0" w:space="0" w:color="auto"/>
      </w:divBdr>
    </w:div>
    <w:div w:id="1844855999">
      <w:bodyDiv w:val="1"/>
      <w:marLeft w:val="0"/>
      <w:marRight w:val="0"/>
      <w:marTop w:val="0"/>
      <w:marBottom w:val="0"/>
      <w:divBdr>
        <w:top w:val="none" w:sz="0" w:space="0" w:color="auto"/>
        <w:left w:val="none" w:sz="0" w:space="0" w:color="auto"/>
        <w:bottom w:val="none" w:sz="0" w:space="0" w:color="auto"/>
        <w:right w:val="none" w:sz="0" w:space="0" w:color="auto"/>
      </w:divBdr>
      <w:divsChild>
        <w:div w:id="1232497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B0AB-4407-4949-997A-4B9E6DED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Rozalind Jester</cp:lastModifiedBy>
  <cp:revision>3</cp:revision>
  <cp:lastPrinted>2020-02-11T16:33:00Z</cp:lastPrinted>
  <dcterms:created xsi:type="dcterms:W3CDTF">2020-02-11T13:48:00Z</dcterms:created>
  <dcterms:modified xsi:type="dcterms:W3CDTF">2020-02-11T21:48:00Z</dcterms:modified>
</cp:coreProperties>
</file>