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574055"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ECO 2710 INTRODUCTION TO INTERNATIONAL ECONOMICS </w:t>
      </w:r>
      <w:r w:rsidR="00146CC0" w:rsidRPr="00BA5F71">
        <w:rPr>
          <w:rFonts w:ascii="Calibri" w:hAnsi="Calibri" w:cs="Arial"/>
          <w:b/>
          <w:sz w:val="22"/>
          <w:szCs w:val="22"/>
        </w:rPr>
        <w:t>(</w:t>
      </w:r>
      <w:r>
        <w:rPr>
          <w:rFonts w:ascii="Calibri" w:hAnsi="Calibri" w:cs="Arial"/>
          <w:b/>
          <w:sz w:val="22"/>
          <w:szCs w:val="22"/>
        </w:rPr>
        <w:t>3</w:t>
      </w:r>
      <w:r w:rsidR="00821739"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8D0B12"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Calibri"/>
          <w:color w:val="000000"/>
          <w:shd w:val="clear" w:color="auto" w:fill="FFFFFF"/>
        </w:rPr>
        <w:t>This course provides an introduction to the theories of international trade and exchange rates</w:t>
      </w:r>
      <w:r w:rsidR="00BE3A77">
        <w:rPr>
          <w:rFonts w:ascii="Calibri" w:hAnsi="Calibri" w:cs="Calibri"/>
          <w:color w:val="000000"/>
          <w:shd w:val="clear" w:color="auto" w:fill="FFFFFF"/>
        </w:rPr>
        <w:t xml:space="preserve"> and t</w:t>
      </w:r>
      <w:r>
        <w:rPr>
          <w:rFonts w:ascii="Calibri" w:hAnsi="Calibri" w:cs="Calibri"/>
          <w:color w:val="000000"/>
          <w:shd w:val="clear" w:color="auto" w:fill="FFFFFF"/>
        </w:rPr>
        <w:t xml:space="preserve">he workings and impact of global capital markets. </w:t>
      </w:r>
      <w:r w:rsidR="00D1711F">
        <w:rPr>
          <w:rFonts w:ascii="Calibri" w:hAnsi="Calibri" w:cs="Calibri"/>
          <w:color w:val="000000"/>
          <w:shd w:val="clear" w:color="auto" w:fill="FFFFFF"/>
        </w:rPr>
        <w:t xml:space="preserve">Students will develop an analytical framework to evaluate the arguments for and against the free cross-border flow of goods, services, and capital. </w:t>
      </w:r>
      <w:r w:rsidR="006E3EA1">
        <w:rPr>
          <w:rFonts w:ascii="Calibri" w:hAnsi="Calibri" w:cs="Calibri"/>
          <w:color w:val="000000"/>
          <w:shd w:val="clear" w:color="auto" w:fill="FFFFFF"/>
        </w:rPr>
        <w:t xml:space="preserve">Emphasis is placed on </w:t>
      </w:r>
      <w:r>
        <w:rPr>
          <w:rFonts w:ascii="Calibri" w:hAnsi="Calibri" w:cs="Calibri"/>
          <w:color w:val="000000"/>
          <w:shd w:val="clear" w:color="auto" w:fill="FFFFFF"/>
        </w:rPr>
        <w:t>the structure and functioning of the international economic system</w:t>
      </w:r>
      <w:r w:rsidR="006E3EA1">
        <w:rPr>
          <w:rFonts w:ascii="Calibri" w:hAnsi="Calibri" w:cs="Calibri"/>
          <w:color w:val="000000"/>
          <w:shd w:val="clear" w:color="auto" w:fill="FFFFFF"/>
        </w:rPr>
        <w:t xml:space="preserve">, particularly the role of international organizations </w:t>
      </w:r>
      <w:r>
        <w:rPr>
          <w:rFonts w:ascii="Calibri" w:hAnsi="Calibri" w:cs="Calibri"/>
          <w:color w:val="000000"/>
          <w:shd w:val="clear" w:color="auto" w:fill="FFFFFF"/>
        </w:rPr>
        <w:t>such as the International Monetary Fund, the World Bank</w:t>
      </w:r>
      <w:r w:rsidR="001B6DFB">
        <w:rPr>
          <w:rFonts w:ascii="Calibri" w:hAnsi="Calibri" w:cs="Calibri"/>
          <w:color w:val="000000"/>
          <w:shd w:val="clear" w:color="auto" w:fill="FFFFFF"/>
        </w:rPr>
        <w:t>,</w:t>
      </w:r>
      <w:r>
        <w:rPr>
          <w:rFonts w:ascii="Calibri" w:hAnsi="Calibri" w:cs="Calibri"/>
          <w:color w:val="000000"/>
          <w:shd w:val="clear" w:color="auto" w:fill="FFFFFF"/>
        </w:rPr>
        <w:t xml:space="preserve"> and the World Trade Organization</w:t>
      </w:r>
      <w:r w:rsidR="006E3EA1">
        <w:rPr>
          <w:rFonts w:ascii="Calibri" w:hAnsi="Calibri" w:cs="Calibri"/>
          <w:color w:val="000000"/>
          <w:shd w:val="clear" w:color="auto" w:fill="FFFFFF"/>
        </w:rPr>
        <w:t xml:space="preserve"> in shaping </w:t>
      </w:r>
      <w:r>
        <w:rPr>
          <w:rFonts w:ascii="Calibri" w:hAnsi="Calibri" w:cs="Calibri"/>
          <w:color w:val="000000"/>
          <w:shd w:val="clear" w:color="auto" w:fill="FFFFFF"/>
        </w:rPr>
        <w:t xml:space="preserve">international economic and financial relations. Special topics include trade </w:t>
      </w:r>
      <w:r w:rsidR="00BD7D2B">
        <w:rPr>
          <w:rFonts w:ascii="Calibri" w:hAnsi="Calibri" w:cs="Calibri"/>
          <w:color w:val="000000"/>
          <w:shd w:val="clear" w:color="auto" w:fill="FFFFFF"/>
        </w:rPr>
        <w:t xml:space="preserve">barriers and </w:t>
      </w:r>
      <w:r>
        <w:rPr>
          <w:rFonts w:ascii="Calibri" w:hAnsi="Calibri" w:cs="Calibri"/>
          <w:color w:val="000000"/>
          <w:shd w:val="clear" w:color="auto" w:fill="FFFFFF"/>
        </w:rPr>
        <w:t>disputes, foreign investment, and financial crises.  </w:t>
      </w: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ED4B1F" w:rsidRDefault="00ED4B1F" w:rsidP="00ED4B1F">
      <w:pPr>
        <w:widowControl/>
        <w:numPr>
          <w:ilvl w:val="1"/>
          <w:numId w:val="5"/>
        </w:numPr>
        <w:suppressAutoHyphens w:val="0"/>
        <w:spacing w:after="6" w:line="248" w:lineRule="auto"/>
        <w:ind w:right="71"/>
      </w:pPr>
      <w:r>
        <w:t xml:space="preserve">International trade theory and patterns </w:t>
      </w:r>
    </w:p>
    <w:p w:rsidR="00ED4B1F" w:rsidRDefault="00ED4B1F" w:rsidP="00ED4B1F">
      <w:pPr>
        <w:widowControl/>
        <w:numPr>
          <w:ilvl w:val="1"/>
          <w:numId w:val="5"/>
        </w:numPr>
        <w:suppressAutoHyphens w:val="0"/>
        <w:spacing w:after="6" w:line="248" w:lineRule="auto"/>
        <w:ind w:right="71"/>
      </w:pPr>
      <w:r>
        <w:t>Exchange rates</w:t>
      </w:r>
    </w:p>
    <w:p w:rsidR="00ED4B1F" w:rsidRDefault="00ED4B1F" w:rsidP="00ED4B1F">
      <w:pPr>
        <w:widowControl/>
        <w:numPr>
          <w:ilvl w:val="1"/>
          <w:numId w:val="5"/>
        </w:numPr>
        <w:suppressAutoHyphens w:val="0"/>
        <w:spacing w:after="6" w:line="248" w:lineRule="auto"/>
        <w:ind w:right="71"/>
      </w:pPr>
      <w:r>
        <w:t>Tariffs and quotas</w:t>
      </w:r>
    </w:p>
    <w:p w:rsidR="00ED4B1F" w:rsidRDefault="00ED4B1F" w:rsidP="00ED4B1F">
      <w:pPr>
        <w:widowControl/>
        <w:numPr>
          <w:ilvl w:val="1"/>
          <w:numId w:val="5"/>
        </w:numPr>
        <w:suppressAutoHyphens w:val="0"/>
        <w:spacing w:after="6" w:line="248" w:lineRule="auto"/>
        <w:ind w:right="71"/>
      </w:pPr>
      <w:r>
        <w:t xml:space="preserve">Free trade agreements and regional economic arrangements </w:t>
      </w:r>
    </w:p>
    <w:p w:rsidR="00ED4B1F" w:rsidRDefault="00ED4B1F" w:rsidP="00ED4B1F">
      <w:pPr>
        <w:widowControl/>
        <w:numPr>
          <w:ilvl w:val="1"/>
          <w:numId w:val="5"/>
        </w:numPr>
        <w:suppressAutoHyphens w:val="0"/>
        <w:spacing w:after="6" w:line="248" w:lineRule="auto"/>
        <w:ind w:right="71"/>
      </w:pPr>
      <w:r>
        <w:t>Trade disputes</w:t>
      </w:r>
    </w:p>
    <w:p w:rsidR="00ED4B1F" w:rsidRDefault="00ED4B1F" w:rsidP="00ED4B1F">
      <w:pPr>
        <w:widowControl/>
        <w:numPr>
          <w:ilvl w:val="1"/>
          <w:numId w:val="5"/>
        </w:numPr>
        <w:suppressAutoHyphens w:val="0"/>
        <w:spacing w:after="6" w:line="248" w:lineRule="auto"/>
        <w:ind w:right="71"/>
      </w:pPr>
      <w:r>
        <w:t>The offshoring of jobs</w:t>
      </w:r>
    </w:p>
    <w:p w:rsidR="00ED4B1F" w:rsidRDefault="00ED4B1F" w:rsidP="00ED4B1F">
      <w:pPr>
        <w:widowControl/>
        <w:numPr>
          <w:ilvl w:val="1"/>
          <w:numId w:val="5"/>
        </w:numPr>
        <w:suppressAutoHyphens w:val="0"/>
        <w:spacing w:after="6" w:line="248" w:lineRule="auto"/>
        <w:ind w:right="71"/>
      </w:pPr>
      <w:r>
        <w:t xml:space="preserve">International capital markets and foreign </w:t>
      </w:r>
      <w:r w:rsidR="0095497B">
        <w:t xml:space="preserve">direct </w:t>
      </w:r>
      <w:r>
        <w:t xml:space="preserve">investment </w:t>
      </w:r>
    </w:p>
    <w:p w:rsidR="00013B16" w:rsidRDefault="00013B16" w:rsidP="00ED4B1F">
      <w:pPr>
        <w:widowControl/>
        <w:numPr>
          <w:ilvl w:val="1"/>
          <w:numId w:val="5"/>
        </w:numPr>
        <w:suppressAutoHyphens w:val="0"/>
        <w:spacing w:after="6" w:line="248" w:lineRule="auto"/>
        <w:ind w:right="71"/>
      </w:pPr>
      <w:r>
        <w:t>The role of the dollar in international trade and finance</w:t>
      </w:r>
    </w:p>
    <w:p w:rsidR="00ED4B1F" w:rsidRDefault="00ED4B1F" w:rsidP="00ED4B1F">
      <w:pPr>
        <w:widowControl/>
        <w:numPr>
          <w:ilvl w:val="1"/>
          <w:numId w:val="5"/>
        </w:numPr>
        <w:suppressAutoHyphens w:val="0"/>
        <w:spacing w:after="6" w:line="248" w:lineRule="auto"/>
        <w:ind w:right="71"/>
      </w:pPr>
      <w:r>
        <w:t xml:space="preserve">The balance of payments </w:t>
      </w:r>
    </w:p>
    <w:p w:rsidR="00821739" w:rsidRPr="00ED4B1F" w:rsidRDefault="00ED4B1F" w:rsidP="00ED4B1F">
      <w:pPr>
        <w:widowControl/>
        <w:numPr>
          <w:ilvl w:val="1"/>
          <w:numId w:val="5"/>
        </w:numPr>
        <w:suppressAutoHyphens w:val="0"/>
        <w:spacing w:after="6" w:line="248" w:lineRule="auto"/>
        <w:ind w:right="71"/>
        <w:rPr>
          <w:rFonts w:ascii="Calibri" w:hAnsi="Calibri" w:cs="Arial"/>
          <w:sz w:val="22"/>
          <w:szCs w:val="22"/>
        </w:rPr>
      </w:pPr>
      <w:r>
        <w:t xml:space="preserve">International </w:t>
      </w:r>
      <w:r w:rsidR="0043527D">
        <w:t>organizations</w:t>
      </w:r>
    </w:p>
    <w:p w:rsidR="00ED4B1F" w:rsidRPr="00ED4B1F" w:rsidRDefault="00ED4B1F" w:rsidP="00ED4B1F">
      <w:pPr>
        <w:widowControl/>
        <w:numPr>
          <w:ilvl w:val="1"/>
          <w:numId w:val="5"/>
        </w:numPr>
        <w:suppressAutoHyphens w:val="0"/>
        <w:spacing w:after="6" w:line="248" w:lineRule="auto"/>
        <w:ind w:right="71"/>
        <w:rPr>
          <w:rFonts w:ascii="Calibri" w:hAnsi="Calibri" w:cs="Arial"/>
          <w:sz w:val="22"/>
          <w:szCs w:val="22"/>
        </w:rPr>
      </w:pPr>
      <w:r>
        <w:t>Global financial crises</w:t>
      </w:r>
    </w:p>
    <w:p w:rsidR="00ED4B1F" w:rsidRDefault="00ED4B1F" w:rsidP="00ED4B1F">
      <w:pPr>
        <w:widowControl/>
        <w:suppressAutoHyphens w:val="0"/>
        <w:spacing w:after="6" w:line="248" w:lineRule="auto"/>
        <w:ind w:right="71"/>
      </w:pPr>
    </w:p>
    <w:p w:rsidR="00ED4B1F" w:rsidRPr="00BA5F71" w:rsidRDefault="00ED4B1F" w:rsidP="00ED4B1F">
      <w:pPr>
        <w:widowControl/>
        <w:suppressAutoHyphens w:val="0"/>
        <w:spacing w:after="6" w:line="248" w:lineRule="auto"/>
        <w:ind w:right="71"/>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506B32" w:rsidRDefault="00506B32" w:rsidP="004B060A">
      <w:pPr>
        <w:shd w:val="clear" w:color="auto" w:fill="FFFFFF"/>
        <w:ind w:left="720"/>
        <w:rPr>
          <w:rFonts w:asciiTheme="minorHAnsi" w:hAnsiTheme="minorHAnsi"/>
          <w:color w:val="000000"/>
          <w:sz w:val="22"/>
          <w:szCs w:val="22"/>
        </w:rPr>
      </w:pP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3A0979" w:rsidRDefault="003A0979" w:rsidP="003A0979">
      <w:pPr>
        <w:shd w:val="clear" w:color="auto" w:fill="FFFFFF"/>
        <w:ind w:left="720"/>
        <w:rPr>
          <w:b/>
        </w:rPr>
      </w:pPr>
      <w:r>
        <w:t xml:space="preserve">General Education Competency: </w:t>
      </w:r>
      <w:r w:rsidRPr="008F10C9">
        <w:rPr>
          <w:b/>
        </w:rPr>
        <w:t>Think</w:t>
      </w:r>
    </w:p>
    <w:p w:rsidR="003A0979" w:rsidRDefault="003A0979" w:rsidP="003A0979">
      <w:pPr>
        <w:shd w:val="clear" w:color="auto" w:fill="FFFFFF"/>
        <w:rPr>
          <w:b/>
        </w:rPr>
      </w:pPr>
    </w:p>
    <w:p w:rsidR="003A0979" w:rsidRDefault="003A0979" w:rsidP="003A0979">
      <w:pPr>
        <w:pStyle w:val="ListParagraph"/>
        <w:widowControl/>
        <w:numPr>
          <w:ilvl w:val="0"/>
          <w:numId w:val="6"/>
        </w:numPr>
        <w:shd w:val="clear" w:color="auto" w:fill="FFFFFF"/>
        <w:spacing w:after="200" w:line="276" w:lineRule="auto"/>
        <w:contextualSpacing/>
      </w:pPr>
      <w:r w:rsidRPr="008F10C9">
        <w:t xml:space="preserve">Define and illustrate comparative advantage. </w:t>
      </w:r>
      <w:r>
        <w:t xml:space="preserve">Discuss the advantages and disadvantages of international trade among countries with different opportunity costs of production. </w:t>
      </w:r>
    </w:p>
    <w:p w:rsidR="003A0979" w:rsidRDefault="003A0979" w:rsidP="003A0979">
      <w:pPr>
        <w:pStyle w:val="ListParagraph"/>
        <w:widowControl/>
        <w:numPr>
          <w:ilvl w:val="0"/>
          <w:numId w:val="6"/>
        </w:numPr>
        <w:shd w:val="clear" w:color="auto" w:fill="FFFFFF"/>
        <w:spacing w:after="200" w:line="276" w:lineRule="auto"/>
        <w:contextualSpacing/>
      </w:pPr>
      <w:r>
        <w:t xml:space="preserve">Determine the terms of trade between trading partners and explain how specialization could improve their living standards. </w:t>
      </w:r>
    </w:p>
    <w:p w:rsidR="003A0979" w:rsidRDefault="003A0979" w:rsidP="003A0979">
      <w:pPr>
        <w:pStyle w:val="ListParagraph"/>
        <w:widowControl/>
        <w:numPr>
          <w:ilvl w:val="0"/>
          <w:numId w:val="6"/>
        </w:numPr>
        <w:shd w:val="clear" w:color="auto" w:fill="FFFFFF"/>
        <w:spacing w:after="200" w:line="276" w:lineRule="auto"/>
        <w:contextualSpacing/>
      </w:pPr>
      <w:r>
        <w:t>Explain the prevalence of intra-industry trade and discuss its advantages. Differentiate between horizontal and vertical specialization of production and provide examples.</w:t>
      </w:r>
    </w:p>
    <w:p w:rsidR="003A0979" w:rsidRDefault="003A0979" w:rsidP="003A0979">
      <w:pPr>
        <w:pStyle w:val="ListParagraph"/>
        <w:widowControl/>
        <w:numPr>
          <w:ilvl w:val="0"/>
          <w:numId w:val="6"/>
        </w:numPr>
        <w:shd w:val="clear" w:color="auto" w:fill="FFFFFF"/>
        <w:spacing w:after="200" w:line="276" w:lineRule="auto"/>
        <w:contextualSpacing/>
      </w:pPr>
      <w:r>
        <w:t xml:space="preserve">Illustrate and measure the economic effects of tariffs, quotas and other trade barriers. </w:t>
      </w:r>
    </w:p>
    <w:p w:rsidR="003A0979" w:rsidRDefault="003A0979" w:rsidP="003A0979">
      <w:pPr>
        <w:pStyle w:val="ListParagraph"/>
        <w:widowControl/>
        <w:numPr>
          <w:ilvl w:val="0"/>
          <w:numId w:val="6"/>
        </w:numPr>
        <w:shd w:val="clear" w:color="auto" w:fill="FFFFFF"/>
        <w:spacing w:after="200" w:line="276" w:lineRule="auto"/>
        <w:contextualSpacing/>
      </w:pPr>
      <w:r>
        <w:t xml:space="preserve">Illustrate and discuss the sources of changes in the demand for and supply of foreign currency. Apply supply and demand analysis to determine the equilibrium exchange rate.  </w:t>
      </w:r>
    </w:p>
    <w:p w:rsidR="003A0979" w:rsidRDefault="003A0979" w:rsidP="003A0979">
      <w:pPr>
        <w:pStyle w:val="ListParagraph"/>
        <w:widowControl/>
        <w:numPr>
          <w:ilvl w:val="0"/>
          <w:numId w:val="6"/>
        </w:numPr>
        <w:shd w:val="clear" w:color="auto" w:fill="FFFFFF"/>
        <w:spacing w:after="200" w:line="276" w:lineRule="auto"/>
        <w:contextualSpacing/>
      </w:pPr>
      <w:r>
        <w:t>Explain the transactions that are included and excluded in the balance of payments and differentiate between the current account and the capital account.</w:t>
      </w:r>
    </w:p>
    <w:p w:rsidR="003A0979" w:rsidRDefault="003A0979" w:rsidP="003A0979">
      <w:pPr>
        <w:pStyle w:val="ListParagraph"/>
        <w:widowControl/>
        <w:numPr>
          <w:ilvl w:val="0"/>
          <w:numId w:val="6"/>
        </w:numPr>
        <w:shd w:val="clear" w:color="auto" w:fill="FFFFFF"/>
        <w:spacing w:after="200" w:line="276" w:lineRule="auto"/>
        <w:contextualSpacing/>
      </w:pPr>
      <w:r>
        <w:t>Explain how interest rate differentials can drive short-term capital flows.</w:t>
      </w:r>
    </w:p>
    <w:p w:rsidR="003A0979" w:rsidRDefault="003A0979" w:rsidP="003A0979">
      <w:pPr>
        <w:pStyle w:val="ListParagraph"/>
        <w:widowControl/>
        <w:numPr>
          <w:ilvl w:val="0"/>
          <w:numId w:val="6"/>
        </w:numPr>
        <w:shd w:val="clear" w:color="auto" w:fill="FFFFFF"/>
        <w:spacing w:after="200" w:line="276" w:lineRule="auto"/>
        <w:contextualSpacing/>
      </w:pPr>
      <w:r>
        <w:t>Explain the reasons for balance of payments crisis and the requirements to sustain a fixed exchange rate system. Compare the major global financial crisis since the 1980s.</w:t>
      </w:r>
    </w:p>
    <w:p w:rsidR="003A0979" w:rsidRDefault="003A0979" w:rsidP="003A0979">
      <w:pPr>
        <w:pStyle w:val="ListParagraph"/>
        <w:widowControl/>
        <w:numPr>
          <w:ilvl w:val="0"/>
          <w:numId w:val="6"/>
        </w:numPr>
        <w:shd w:val="clear" w:color="auto" w:fill="FFFFFF"/>
        <w:spacing w:after="200" w:line="276" w:lineRule="auto"/>
        <w:contextualSpacing/>
      </w:pPr>
      <w:r>
        <w:t xml:space="preserve">Evaluate the major arguments against the free movement of goods, services, and capital. </w:t>
      </w:r>
    </w:p>
    <w:p w:rsidR="003A0979" w:rsidRPr="008F10C9" w:rsidRDefault="003A0979" w:rsidP="003A0979">
      <w:pPr>
        <w:shd w:val="clear" w:color="auto" w:fill="FFFFFF"/>
        <w:ind w:left="720"/>
      </w:pPr>
    </w:p>
    <w:p w:rsidR="003A0979" w:rsidRDefault="003A0979" w:rsidP="003A0979">
      <w:pPr>
        <w:shd w:val="clear" w:color="auto" w:fill="FFFFFF"/>
        <w:ind w:left="720"/>
        <w:rPr>
          <w:b/>
        </w:rPr>
      </w:pPr>
      <w:r>
        <w:t xml:space="preserve">General Education Competency: </w:t>
      </w:r>
      <w:r>
        <w:rPr>
          <w:b/>
        </w:rPr>
        <w:t>Engage</w:t>
      </w:r>
    </w:p>
    <w:p w:rsidR="003A0979" w:rsidRDefault="003A0979" w:rsidP="003A0979">
      <w:pPr>
        <w:shd w:val="clear" w:color="auto" w:fill="FFFFFF"/>
        <w:rPr>
          <w:b/>
        </w:rPr>
      </w:pPr>
    </w:p>
    <w:p w:rsidR="003A0979" w:rsidRDefault="003A0979" w:rsidP="003A0979">
      <w:pPr>
        <w:pStyle w:val="ListParagraph"/>
        <w:widowControl/>
        <w:numPr>
          <w:ilvl w:val="0"/>
          <w:numId w:val="6"/>
        </w:numPr>
        <w:shd w:val="clear" w:color="auto" w:fill="FFFFFF"/>
        <w:spacing w:after="200" w:line="276" w:lineRule="auto"/>
        <w:contextualSpacing/>
      </w:pPr>
      <w:r>
        <w:t>Explain the importance of the United States, European Union, and China in the global economy.</w:t>
      </w:r>
    </w:p>
    <w:p w:rsidR="003A0979" w:rsidRDefault="003A0979" w:rsidP="003A0979">
      <w:pPr>
        <w:pStyle w:val="ListParagraph"/>
        <w:widowControl/>
        <w:numPr>
          <w:ilvl w:val="0"/>
          <w:numId w:val="6"/>
        </w:numPr>
        <w:shd w:val="clear" w:color="auto" w:fill="FFFFFF"/>
        <w:spacing w:after="200" w:line="276" w:lineRule="auto"/>
        <w:contextualSpacing/>
      </w:pPr>
      <w:r>
        <w:t>Discuss the history of the European Union and explain the factors driving economic and financial integration.</w:t>
      </w:r>
    </w:p>
    <w:p w:rsidR="003A0979" w:rsidRDefault="003A0979" w:rsidP="003A0979">
      <w:pPr>
        <w:pStyle w:val="ListParagraph"/>
        <w:widowControl/>
        <w:numPr>
          <w:ilvl w:val="0"/>
          <w:numId w:val="6"/>
        </w:numPr>
        <w:shd w:val="clear" w:color="auto" w:fill="FFFFFF"/>
        <w:spacing w:after="200" w:line="276" w:lineRule="auto"/>
        <w:contextualSpacing/>
      </w:pPr>
      <w:r>
        <w:lastRenderedPageBreak/>
        <w:t xml:space="preserve">Explain the role of the International Monetary Fund, World Bank, World Trade Organization, World Intellectual Property Organization, and Bank for International Settlements in the global economy. </w:t>
      </w:r>
    </w:p>
    <w:p w:rsidR="003A0979" w:rsidRDefault="003A0979" w:rsidP="003A0979">
      <w:pPr>
        <w:shd w:val="clear" w:color="auto" w:fill="FFFFFF"/>
        <w:ind w:left="720"/>
        <w:rPr>
          <w:rFonts w:ascii="Calibri" w:hAnsi="Calibri"/>
          <w:color w:val="000000"/>
          <w:szCs w:val="24"/>
        </w:rPr>
      </w:pPr>
      <w:r w:rsidRPr="0076686C">
        <w:rPr>
          <w:rFonts w:ascii="Calibri" w:hAnsi="Calibri"/>
          <w:color w:val="000000"/>
          <w:szCs w:val="24"/>
        </w:rPr>
        <w:t>2.  </w:t>
      </w:r>
      <w:r>
        <w:rPr>
          <w:rFonts w:ascii="Calibri" w:hAnsi="Calibri"/>
          <w:color w:val="000000"/>
          <w:szCs w:val="24"/>
        </w:rPr>
        <w:t xml:space="preserve">Supplemental </w:t>
      </w:r>
      <w:r>
        <w:rPr>
          <w:rFonts w:ascii="Calibri" w:hAnsi="Calibri"/>
          <w:i/>
          <w:color w:val="000000"/>
          <w:szCs w:val="24"/>
        </w:rPr>
        <w:t>General Education Competency or competencies</w:t>
      </w:r>
      <w:r>
        <w:rPr>
          <w:rFonts w:ascii="Calibri" w:hAnsi="Calibri"/>
          <w:color w:val="000000"/>
          <w:szCs w:val="24"/>
        </w:rPr>
        <w:t xml:space="preserve">: </w:t>
      </w:r>
    </w:p>
    <w:p w:rsidR="003A0979" w:rsidRPr="00631C33" w:rsidRDefault="003A0979" w:rsidP="003A0979">
      <w:pPr>
        <w:shd w:val="clear" w:color="auto" w:fill="FFFFFF"/>
        <w:rPr>
          <w:rFonts w:ascii="Calibri" w:hAnsi="Calibri"/>
          <w:color w:val="000000"/>
          <w:szCs w:val="24"/>
        </w:rPr>
      </w:pPr>
    </w:p>
    <w:p w:rsidR="003A0979" w:rsidRDefault="003A0979" w:rsidP="003A0979">
      <w:pPr>
        <w:shd w:val="clear" w:color="auto" w:fill="FFFFFF"/>
        <w:rPr>
          <w:b/>
        </w:rPr>
      </w:pPr>
      <w:r>
        <w:t xml:space="preserve">               General Education Competency: </w:t>
      </w:r>
      <w:r>
        <w:rPr>
          <w:b/>
        </w:rPr>
        <w:t>Communicate</w:t>
      </w:r>
    </w:p>
    <w:p w:rsidR="003A0979" w:rsidRDefault="003A0979" w:rsidP="003A0979">
      <w:pPr>
        <w:shd w:val="clear" w:color="auto" w:fill="FFFFFF"/>
        <w:rPr>
          <w:b/>
        </w:rPr>
      </w:pPr>
    </w:p>
    <w:p w:rsidR="003A0979" w:rsidRDefault="003A0979" w:rsidP="003A0979">
      <w:pPr>
        <w:pStyle w:val="ListParagraph"/>
        <w:widowControl/>
        <w:numPr>
          <w:ilvl w:val="0"/>
          <w:numId w:val="6"/>
        </w:numPr>
        <w:shd w:val="clear" w:color="auto" w:fill="FFFFFF"/>
        <w:spacing w:after="200" w:line="276" w:lineRule="auto"/>
        <w:contextualSpacing/>
      </w:pPr>
      <w:r>
        <w:t xml:space="preserve">Explain how the </w:t>
      </w:r>
      <w:proofErr w:type="spellStart"/>
      <w:r>
        <w:t>Hechscher</w:t>
      </w:r>
      <w:proofErr w:type="spellEnd"/>
      <w:r>
        <w:t xml:space="preserve">-Ohlin focus on factor endowments extends the classical theory of comparative advantage.   </w:t>
      </w:r>
    </w:p>
    <w:p w:rsidR="003A0979" w:rsidRDefault="003A0979" w:rsidP="003A0979">
      <w:pPr>
        <w:pStyle w:val="ListParagraph"/>
        <w:widowControl/>
        <w:numPr>
          <w:ilvl w:val="0"/>
          <w:numId w:val="6"/>
        </w:numPr>
        <w:shd w:val="clear" w:color="auto" w:fill="FFFFFF"/>
        <w:spacing w:after="200" w:line="276" w:lineRule="auto"/>
        <w:contextualSpacing/>
      </w:pPr>
      <w:r>
        <w:t>Define and discuss the differences among the free trade agreement, customs union, common market, economic union, and political union. Differentiate between bilateral and multilateral trade agreements.</w:t>
      </w:r>
    </w:p>
    <w:p w:rsidR="003A0979" w:rsidRDefault="003A0979" w:rsidP="003A0979">
      <w:pPr>
        <w:pStyle w:val="ListParagraph"/>
        <w:widowControl/>
        <w:numPr>
          <w:ilvl w:val="0"/>
          <w:numId w:val="6"/>
        </w:numPr>
        <w:shd w:val="clear" w:color="auto" w:fill="FFFFFF"/>
        <w:spacing w:after="200" w:line="276" w:lineRule="auto"/>
        <w:contextualSpacing/>
      </w:pPr>
      <w:r>
        <w:t xml:space="preserve">Discuss the history of the Bretton Woods System and explain why the gold standard collapsed. </w:t>
      </w:r>
    </w:p>
    <w:p w:rsidR="003A0979" w:rsidRDefault="003A0979" w:rsidP="003A0979">
      <w:pPr>
        <w:pStyle w:val="ListParagraph"/>
        <w:widowControl/>
        <w:numPr>
          <w:ilvl w:val="0"/>
          <w:numId w:val="6"/>
        </w:numPr>
        <w:shd w:val="clear" w:color="auto" w:fill="FFFFFF"/>
        <w:spacing w:after="200" w:line="276" w:lineRule="auto"/>
        <w:contextualSpacing/>
      </w:pPr>
      <w:r>
        <w:t xml:space="preserve">Discuss the impact of trade agreements and sources of economic dispute among the United States, Mexico, and Canada. </w:t>
      </w:r>
    </w:p>
    <w:p w:rsidR="003A0979" w:rsidRDefault="003A0979" w:rsidP="003A0979">
      <w:pPr>
        <w:pStyle w:val="ListParagraph"/>
        <w:widowControl/>
        <w:numPr>
          <w:ilvl w:val="0"/>
          <w:numId w:val="6"/>
        </w:numPr>
        <w:shd w:val="clear" w:color="auto" w:fill="FFFFFF"/>
        <w:spacing w:after="200" w:line="276" w:lineRule="auto"/>
        <w:contextualSpacing/>
      </w:pPr>
      <w:r>
        <w:t>Discuss the history and function of the World Trade Organization and its dispute settlement mechanism.</w:t>
      </w:r>
    </w:p>
    <w:p w:rsidR="003A0979" w:rsidRDefault="003A0979" w:rsidP="003A0979">
      <w:pPr>
        <w:pStyle w:val="ListParagraph"/>
        <w:widowControl/>
        <w:numPr>
          <w:ilvl w:val="0"/>
          <w:numId w:val="6"/>
        </w:numPr>
        <w:shd w:val="clear" w:color="auto" w:fill="FFFFFF"/>
        <w:spacing w:after="200" w:line="276" w:lineRule="auto"/>
        <w:contextualSpacing/>
      </w:pPr>
      <w:r>
        <w:t>Discuss major sources of trade and intellectual property disputes.</w:t>
      </w:r>
    </w:p>
    <w:p w:rsidR="003A0979" w:rsidRDefault="003A0979" w:rsidP="003A0979">
      <w:pPr>
        <w:pStyle w:val="ListParagraph"/>
        <w:widowControl/>
        <w:numPr>
          <w:ilvl w:val="0"/>
          <w:numId w:val="6"/>
        </w:numPr>
        <w:shd w:val="clear" w:color="auto" w:fill="FFFFFF"/>
        <w:spacing w:after="200" w:line="276" w:lineRule="auto"/>
        <w:contextualSpacing/>
      </w:pPr>
      <w:r>
        <w:t>Explain the controversy over the stabilization programs of the International Monetary Fund.</w:t>
      </w:r>
    </w:p>
    <w:p w:rsidR="003A0979" w:rsidRDefault="003A0979" w:rsidP="003A0979">
      <w:pPr>
        <w:pStyle w:val="ListParagraph"/>
        <w:widowControl/>
        <w:numPr>
          <w:ilvl w:val="0"/>
          <w:numId w:val="6"/>
        </w:numPr>
        <w:shd w:val="clear" w:color="auto" w:fill="FFFFFF"/>
        <w:spacing w:after="200" w:line="276" w:lineRule="auto"/>
        <w:contextualSpacing/>
      </w:pPr>
      <w:r>
        <w:t>Explain the role of the dollar as store of value and medium of exchange in global trade and finance. Define the Eurodollar market and provide examples of Eurodollar financing.</w:t>
      </w:r>
    </w:p>
    <w:p w:rsidR="003A0979" w:rsidRDefault="003A0979" w:rsidP="003A0979">
      <w:pPr>
        <w:shd w:val="clear" w:color="auto" w:fill="FFFFFF"/>
        <w:ind w:left="720"/>
      </w:pPr>
    </w:p>
    <w:p w:rsidR="003A0979" w:rsidRDefault="003A0979" w:rsidP="003A0979">
      <w:pPr>
        <w:shd w:val="clear" w:color="auto" w:fill="FFFFFF"/>
        <w:rPr>
          <w:b/>
        </w:rPr>
      </w:pPr>
      <w:r>
        <w:t xml:space="preserve">              General Education Competency: </w:t>
      </w:r>
      <w:r>
        <w:rPr>
          <w:b/>
        </w:rPr>
        <w:t>Investigate</w:t>
      </w:r>
    </w:p>
    <w:p w:rsidR="003A0979" w:rsidRDefault="003A0979" w:rsidP="003A0979">
      <w:pPr>
        <w:shd w:val="clear" w:color="auto" w:fill="FFFFFF"/>
        <w:rPr>
          <w:b/>
        </w:rPr>
      </w:pPr>
    </w:p>
    <w:p w:rsidR="003A0979" w:rsidRDefault="003A0979" w:rsidP="003A0979">
      <w:pPr>
        <w:pStyle w:val="ListParagraph"/>
        <w:widowControl/>
        <w:numPr>
          <w:ilvl w:val="0"/>
          <w:numId w:val="7"/>
        </w:numPr>
        <w:shd w:val="clear" w:color="auto" w:fill="FFFFFF"/>
        <w:spacing w:after="200" w:line="276" w:lineRule="auto"/>
        <w:contextualSpacing/>
      </w:pPr>
      <w:r>
        <w:t xml:space="preserve">Describe the volume, destination, origin, and </w:t>
      </w:r>
      <w:r w:rsidR="007900AF">
        <w:t>industry</w:t>
      </w:r>
      <w:r>
        <w:t xml:space="preserve"> composition of foreign direct investment in high-income, middle-income, and low-income countries. </w:t>
      </w:r>
    </w:p>
    <w:p w:rsidR="003A0979" w:rsidRDefault="003A0979" w:rsidP="003A0979">
      <w:pPr>
        <w:pStyle w:val="ListParagraph"/>
        <w:widowControl/>
        <w:numPr>
          <w:ilvl w:val="0"/>
          <w:numId w:val="7"/>
        </w:numPr>
        <w:shd w:val="clear" w:color="auto" w:fill="FFFFFF"/>
        <w:spacing w:after="200" w:line="276" w:lineRule="auto"/>
        <w:contextualSpacing/>
      </w:pPr>
      <w:r>
        <w:t>Compare the composition of exports and imports of the United States, the European Union, China, middle-income, and low-income countries.</w:t>
      </w:r>
    </w:p>
    <w:p w:rsidR="003A0979" w:rsidRDefault="003A0979" w:rsidP="00DA66CF">
      <w:pPr>
        <w:ind w:left="72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9F2FA1" w:rsidRDefault="009F2FA1" w:rsidP="009F2FA1">
      <w:pPr>
        <w:pStyle w:val="ListParagraph"/>
        <w:widowControl/>
        <w:numPr>
          <w:ilvl w:val="0"/>
          <w:numId w:val="7"/>
        </w:numPr>
        <w:shd w:val="clear" w:color="auto" w:fill="FFFFFF"/>
        <w:spacing w:after="200" w:line="276" w:lineRule="auto"/>
        <w:contextualSpacing/>
      </w:pPr>
      <w:r>
        <w:t>Determine the size and composition of the of the Eurodollar market.</w:t>
      </w:r>
    </w:p>
    <w:p w:rsidR="009F2FA1" w:rsidRDefault="009F2FA1" w:rsidP="009F2FA1">
      <w:pPr>
        <w:pStyle w:val="ListParagraph"/>
        <w:widowControl/>
        <w:numPr>
          <w:ilvl w:val="0"/>
          <w:numId w:val="7"/>
        </w:numPr>
        <w:shd w:val="clear" w:color="auto" w:fill="FFFFFF"/>
        <w:spacing w:after="200" w:line="276" w:lineRule="auto"/>
        <w:contextualSpacing/>
      </w:pPr>
      <w:r>
        <w:t>Provide examples of how coordination among central banks has helped to prevent and resolve international financial crisis.</w:t>
      </w:r>
    </w:p>
    <w:p w:rsidR="004B060A" w:rsidRPr="00DF4F71" w:rsidRDefault="004B060A" w:rsidP="00DA66CF">
      <w:pPr>
        <w:ind w:left="720"/>
        <w:rPr>
          <w:rFonts w:ascii="Calibri" w:hAnsi="Calibri" w:cs="Arial"/>
          <w:b/>
          <w:i/>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470" w:rsidRDefault="002D3470" w:rsidP="003A608C">
      <w:r>
        <w:separator/>
      </w:r>
    </w:p>
  </w:endnote>
  <w:endnote w:type="continuationSeparator" w:id="0">
    <w:p w:rsidR="002D3470" w:rsidRDefault="002D347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7900AF">
      <w:rPr>
        <w:rFonts w:ascii="Calibri" w:hAnsi="Calibri" w:cs="Arial"/>
        <w:noProof/>
        <w:sz w:val="22"/>
        <w:szCs w:val="22"/>
      </w:rPr>
      <w:t>4</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5497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470" w:rsidRDefault="002D3470" w:rsidP="003A608C">
      <w:r>
        <w:separator/>
      </w:r>
    </w:p>
  </w:footnote>
  <w:footnote w:type="continuationSeparator" w:id="0">
    <w:p w:rsidR="002D3470" w:rsidRDefault="002D347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BA17FE0"/>
    <w:multiLevelType w:val="hybridMultilevel"/>
    <w:tmpl w:val="2E967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115212"/>
    <w:multiLevelType w:val="hybridMultilevel"/>
    <w:tmpl w:val="90DEF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72FA1F12"/>
    <w:multiLevelType w:val="hybridMultilevel"/>
    <w:tmpl w:val="5FD4AE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cDkrMbSg1wXcHmA94H38odRWkJ5D3wllW0CrpLmKUjWbjlv4Vibo2SHwG1ZGh8FmKgdoMGbLctVnIELqZkiGA==" w:salt="sscjHEHrRz3ubhQgDBtNa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3B16"/>
    <w:rsid w:val="0001420A"/>
    <w:rsid w:val="00015BE3"/>
    <w:rsid w:val="000167A6"/>
    <w:rsid w:val="000168E0"/>
    <w:rsid w:val="00017A4C"/>
    <w:rsid w:val="00017E43"/>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374A"/>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B6DFB"/>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7641B"/>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3470"/>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0979"/>
    <w:rsid w:val="003A2084"/>
    <w:rsid w:val="003A608C"/>
    <w:rsid w:val="003B080B"/>
    <w:rsid w:val="003B3D09"/>
    <w:rsid w:val="003B6057"/>
    <w:rsid w:val="003B763D"/>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27D"/>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2D27"/>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B32"/>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4055"/>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105A9"/>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E3EA1"/>
    <w:rsid w:val="006F1FB3"/>
    <w:rsid w:val="006F6C28"/>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00AF"/>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64BE6"/>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0B12"/>
    <w:rsid w:val="008D136B"/>
    <w:rsid w:val="008E0214"/>
    <w:rsid w:val="008E08DD"/>
    <w:rsid w:val="008F66E1"/>
    <w:rsid w:val="00901FCC"/>
    <w:rsid w:val="00927493"/>
    <w:rsid w:val="009352A2"/>
    <w:rsid w:val="009375A2"/>
    <w:rsid w:val="00951094"/>
    <w:rsid w:val="0095497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2FA1"/>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D7D2B"/>
    <w:rsid w:val="00BE04EE"/>
    <w:rsid w:val="00BE3A77"/>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649D"/>
    <w:rsid w:val="00CF7A26"/>
    <w:rsid w:val="00D01EB8"/>
    <w:rsid w:val="00D05B56"/>
    <w:rsid w:val="00D109F9"/>
    <w:rsid w:val="00D12029"/>
    <w:rsid w:val="00D1711F"/>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0400"/>
    <w:rsid w:val="00DC2063"/>
    <w:rsid w:val="00DD347B"/>
    <w:rsid w:val="00DD4688"/>
    <w:rsid w:val="00DD7791"/>
    <w:rsid w:val="00DD7D2F"/>
    <w:rsid w:val="00DD7DD6"/>
    <w:rsid w:val="00DF0910"/>
    <w:rsid w:val="00DF4F71"/>
    <w:rsid w:val="00DF59A3"/>
    <w:rsid w:val="00E02356"/>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D4B1F"/>
    <w:rsid w:val="00EE3DB1"/>
    <w:rsid w:val="00EF0124"/>
    <w:rsid w:val="00EF3347"/>
    <w:rsid w:val="00F0403D"/>
    <w:rsid w:val="00F04E67"/>
    <w:rsid w:val="00F05C55"/>
    <w:rsid w:val="00F1523B"/>
    <w:rsid w:val="00F248F3"/>
    <w:rsid w:val="00F268CA"/>
    <w:rsid w:val="00F348A6"/>
    <w:rsid w:val="00F3669E"/>
    <w:rsid w:val="00F43B73"/>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3BF48-BB19-40E7-AC1C-C86906E9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8497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2021-05-18T19:33:00Z</dcterms:created>
  <dcterms:modified xsi:type="dcterms:W3CDTF">2021-05-18T19:33:00Z</dcterms:modified>
</cp:coreProperties>
</file>