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bookmarkEnd w:id="0"/>
          </w:p>
        </w:tc>
        <w:tc>
          <w:tcPr>
            <w:tcW w:w="5220" w:type="dxa"/>
          </w:tcPr>
          <w:p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191C68" w:rsidP="001E131B">
      <w:pPr>
        <w:widowControl/>
        <w:tabs>
          <w:tab w:val="left" w:pos="720"/>
          <w:tab w:val="left" w:pos="1170"/>
        </w:tabs>
        <w:ind w:left="720"/>
        <w:rPr>
          <w:rFonts w:ascii="Calibri" w:hAnsi="Calibri" w:cs="Arial"/>
          <w:b/>
          <w:sz w:val="22"/>
          <w:szCs w:val="22"/>
        </w:rPr>
      </w:pPr>
      <w:r w:rsidRPr="007F3FB4">
        <w:rPr>
          <w:rFonts w:ascii="Calibri" w:hAnsi="Calibri" w:cs="Arial"/>
          <w:b/>
          <w:noProof/>
          <w:sz w:val="22"/>
          <w:szCs w:val="22"/>
        </w:rPr>
        <w:t>ACG 3024 ACCOUNTING FOR NON-ACCOUNTING MAJORS</w:t>
      </w:r>
      <w:proofErr w:type="gramStart"/>
      <w:r w:rsidRPr="007F3FB4">
        <w:rPr>
          <w:rFonts w:ascii="Calibri" w:hAnsi="Calibri" w:cs="Arial"/>
          <w:b/>
          <w:sz w:val="22"/>
          <w:szCs w:val="22"/>
        </w:rPr>
        <w:t xml:space="preserve">   (</w:t>
      </w:r>
      <w:proofErr w:type="gramEnd"/>
      <w:r w:rsidRPr="007F3FB4">
        <w:rPr>
          <w:rFonts w:ascii="Calibri" w:hAnsi="Calibri" w:cs="Arial"/>
          <w:b/>
          <w:noProof/>
          <w:sz w:val="22"/>
          <w:szCs w:val="22"/>
        </w:rPr>
        <w:t>3</w:t>
      </w:r>
      <w:r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191C68" w:rsidP="00F33F02">
      <w:pPr>
        <w:pStyle w:val="BodyTextIndent2"/>
        <w:widowControl/>
        <w:tabs>
          <w:tab w:val="left" w:pos="720"/>
          <w:tab w:val="left" w:pos="1170"/>
        </w:tabs>
        <w:spacing w:after="0" w:line="276" w:lineRule="auto"/>
        <w:ind w:left="720"/>
        <w:rPr>
          <w:rFonts w:ascii="Calibri" w:hAnsi="Calibri" w:cs="Arial"/>
          <w:noProof/>
          <w:sz w:val="22"/>
          <w:szCs w:val="22"/>
        </w:rPr>
      </w:pPr>
      <w:r w:rsidRPr="007F3FB4">
        <w:rPr>
          <w:rFonts w:ascii="Calibri" w:hAnsi="Calibri" w:cs="Arial"/>
          <w:noProof/>
          <w:sz w:val="22"/>
          <w:szCs w:val="22"/>
        </w:rPr>
        <w:t>This course addresses the use of accounting information by non-financial managers. Emphasis is placed on the interpretation of accounting information and the language of financial accounting to effectively participate in activities such as planning, investment, control, and managerial decision making.</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191C68" w:rsidRPr="007F3FB4" w:rsidRDefault="00CF478C" w:rsidP="00927493">
      <w:pPr>
        <w:ind w:left="720"/>
        <w:rPr>
          <w:rStyle w:val="Strong"/>
          <w:rFonts w:ascii="Calibri" w:hAnsi="Calibri"/>
          <w:b w:val="0"/>
          <w:iCs/>
          <w:sz w:val="22"/>
          <w:szCs w:val="22"/>
        </w:rPr>
      </w:pPr>
      <w:r w:rsidRPr="007F3FB4">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CF478C" w:rsidRPr="007F3FB4" w:rsidRDefault="00CF478C"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Pr="007F3FB4">
        <w:rPr>
          <w:rFonts w:ascii="Calibri" w:hAnsi="Calibri" w:cs="Arial"/>
          <w:noProof/>
          <w:sz w:val="22"/>
          <w:szCs w:val="22"/>
        </w:rPr>
        <w:t>The Role of Accounting in Business</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Pr="007F3FB4">
        <w:rPr>
          <w:rFonts w:ascii="Calibri" w:hAnsi="Calibri" w:cs="Arial"/>
          <w:noProof/>
          <w:sz w:val="22"/>
          <w:szCs w:val="22"/>
        </w:rPr>
        <w:t>Basic Accounting Concepts</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Pr="007F3FB4">
        <w:rPr>
          <w:rFonts w:ascii="Calibri" w:hAnsi="Calibri" w:cs="Arial"/>
          <w:noProof/>
          <w:sz w:val="22"/>
          <w:szCs w:val="22"/>
        </w:rPr>
        <w:t xml:space="preserve">Accrual Accounting Concepts </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Pr="007F3FB4">
        <w:rPr>
          <w:rFonts w:ascii="Calibri" w:hAnsi="Calibri" w:cs="Arial"/>
          <w:noProof/>
          <w:sz w:val="22"/>
          <w:szCs w:val="22"/>
        </w:rPr>
        <w:t>Sarbanes-Oxley and Internal Controls</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Pr="007F3FB4">
        <w:rPr>
          <w:rFonts w:ascii="Calibri" w:hAnsi="Calibri" w:cs="Arial"/>
          <w:noProof/>
          <w:sz w:val="22"/>
          <w:szCs w:val="22"/>
        </w:rPr>
        <w:t xml:space="preserve">Accounting for Merchandising Businesses </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Pr="007F3FB4">
        <w:rPr>
          <w:rFonts w:ascii="Calibri" w:hAnsi="Calibri" w:cs="Arial"/>
          <w:noProof/>
          <w:sz w:val="22"/>
          <w:szCs w:val="22"/>
        </w:rPr>
        <w:t>Accounting for Manufacturing Businesses</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Pr="007F3FB4">
        <w:rPr>
          <w:rFonts w:ascii="Calibri" w:hAnsi="Calibri" w:cs="Arial"/>
          <w:noProof/>
          <w:sz w:val="22"/>
          <w:szCs w:val="22"/>
        </w:rPr>
        <w:t>Assets, Liabilities, and Owner Equity</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Pr="007F3FB4">
        <w:rPr>
          <w:rFonts w:ascii="Calibri" w:hAnsi="Calibri" w:cs="Arial"/>
          <w:noProof/>
          <w:sz w:val="22"/>
          <w:szCs w:val="22"/>
        </w:rPr>
        <w:t>Financial Statement Analysis</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Pr="007F3FB4">
        <w:rPr>
          <w:rFonts w:ascii="Calibri" w:hAnsi="Calibri" w:cs="Arial"/>
          <w:noProof/>
          <w:sz w:val="22"/>
          <w:szCs w:val="22"/>
        </w:rPr>
        <w:t>Cost Behavior and Cost-Volume-Profit Analysis</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Pr="007F3FB4">
        <w:rPr>
          <w:rFonts w:ascii="Calibri" w:hAnsi="Calibri" w:cs="Arial"/>
          <w:noProof/>
          <w:sz w:val="22"/>
          <w:szCs w:val="22"/>
        </w:rPr>
        <w:t>Differential Analysis and Product Pricing</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Pr="007F3FB4">
        <w:rPr>
          <w:rFonts w:ascii="Calibri" w:hAnsi="Calibri" w:cs="Arial"/>
          <w:noProof/>
          <w:sz w:val="22"/>
          <w:szCs w:val="22"/>
        </w:rPr>
        <w:t>Budgeting and Standard Cost Systems</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Pr="007F3FB4">
        <w:rPr>
          <w:rFonts w:ascii="Calibri" w:hAnsi="Calibri" w:cs="Arial"/>
          <w:noProof/>
          <w:sz w:val="22"/>
          <w:szCs w:val="22"/>
        </w:rPr>
        <w:t>Capital Investment Analysis</w:t>
      </w:r>
    </w:p>
    <w:p w:rsidR="00191C68" w:rsidRPr="007F3FB4" w:rsidRDefault="00191C68" w:rsidP="0023397D">
      <w:pPr>
        <w:tabs>
          <w:tab w:val="left" w:pos="1080"/>
        </w:tabs>
        <w:ind w:left="1080" w:hanging="360"/>
        <w:rPr>
          <w:rFonts w:ascii="Calibri" w:hAnsi="Calibri" w:cs="Arial"/>
          <w:sz w:val="22"/>
          <w:szCs w:val="22"/>
        </w:rPr>
      </w:pPr>
    </w:p>
    <w:p w:rsidR="00855A09" w:rsidRPr="00BA3BB9" w:rsidRDefault="00855A09" w:rsidP="00855A0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55A09" w:rsidRDefault="00855A09" w:rsidP="00855A09">
      <w:pPr>
        <w:rPr>
          <w:rFonts w:ascii="Calibri" w:hAnsi="Calibri" w:cs="Arial"/>
          <w:b/>
          <w:sz w:val="22"/>
          <w:szCs w:val="22"/>
          <w:u w:val="single"/>
        </w:rPr>
      </w:pPr>
    </w:p>
    <w:p w:rsidR="00855A09" w:rsidRPr="009A197E" w:rsidRDefault="00855A09" w:rsidP="00855A09">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855A09" w:rsidRPr="009A197E" w:rsidRDefault="00855A09" w:rsidP="00855A0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55A09" w:rsidRPr="009A197E" w:rsidRDefault="00855A09" w:rsidP="00855A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55A09" w:rsidRPr="009A197E" w:rsidRDefault="00855A09" w:rsidP="00855A0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55A09" w:rsidRPr="009A197E" w:rsidRDefault="00855A09" w:rsidP="00855A0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55A09" w:rsidRPr="009A197E" w:rsidRDefault="00855A09" w:rsidP="00855A0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55A09" w:rsidRPr="009A197E" w:rsidRDefault="00855A09" w:rsidP="00855A0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55A09" w:rsidRDefault="00855A09" w:rsidP="00855A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55A09" w:rsidRDefault="00855A09" w:rsidP="00855A09">
      <w:pPr>
        <w:ind w:left="720"/>
        <w:rPr>
          <w:rFonts w:ascii="Garamond" w:hAnsi="Garamond"/>
          <w:color w:val="000000"/>
          <w:sz w:val="22"/>
          <w:szCs w:val="22"/>
        </w:rPr>
      </w:pPr>
    </w:p>
    <w:p w:rsidR="00855A09" w:rsidRPr="0036367B" w:rsidRDefault="00855A09" w:rsidP="00855A0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55A09" w:rsidRPr="0036367B" w:rsidRDefault="00855A09" w:rsidP="00855A0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55A09" w:rsidRPr="0036367B" w:rsidRDefault="00855A09" w:rsidP="00855A09">
      <w:pPr>
        <w:shd w:val="clear" w:color="auto" w:fill="FFFFFF"/>
        <w:rPr>
          <w:rFonts w:ascii="Calibri" w:hAnsi="Calibri"/>
          <w:color w:val="000000"/>
          <w:sz w:val="22"/>
          <w:szCs w:val="24"/>
        </w:rPr>
      </w:pPr>
      <w:r w:rsidRPr="0036367B">
        <w:rPr>
          <w:rFonts w:ascii="Calibri" w:hAnsi="Calibri"/>
          <w:color w:val="000000"/>
          <w:sz w:val="22"/>
          <w:szCs w:val="24"/>
        </w:rPr>
        <w:t> </w:t>
      </w:r>
    </w:p>
    <w:p w:rsidR="00855A09" w:rsidRPr="00750AFF" w:rsidRDefault="00855A09" w:rsidP="00855A0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855A09" w:rsidRPr="0036367B" w:rsidRDefault="00855A09" w:rsidP="00855A09">
      <w:pPr>
        <w:shd w:val="clear" w:color="auto" w:fill="FFFFFF"/>
        <w:rPr>
          <w:rFonts w:ascii="Calibri" w:hAnsi="Calibri"/>
          <w:color w:val="000000"/>
          <w:sz w:val="22"/>
          <w:szCs w:val="24"/>
        </w:rPr>
      </w:pPr>
    </w:p>
    <w:p w:rsidR="00855A09" w:rsidRDefault="00855A09" w:rsidP="00855A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55A09" w:rsidRDefault="00855A09" w:rsidP="00855A09">
      <w:pPr>
        <w:shd w:val="clear" w:color="auto" w:fill="FFFFFF"/>
        <w:rPr>
          <w:rFonts w:ascii="Calibri" w:hAnsi="Calibri"/>
          <w:color w:val="000000"/>
          <w:sz w:val="22"/>
          <w:szCs w:val="24"/>
        </w:rPr>
      </w:pPr>
    </w:p>
    <w:p w:rsidR="00855A09" w:rsidRPr="00855A09" w:rsidRDefault="00855A09" w:rsidP="00855A09">
      <w:pPr>
        <w:pStyle w:val="Default"/>
        <w:numPr>
          <w:ilvl w:val="0"/>
          <w:numId w:val="5"/>
        </w:numPr>
        <w:rPr>
          <w:sz w:val="22"/>
          <w:szCs w:val="22"/>
        </w:rPr>
      </w:pPr>
      <w:r w:rsidRPr="00855A09">
        <w:rPr>
          <w:sz w:val="22"/>
          <w:szCs w:val="22"/>
        </w:rPr>
        <w:t xml:space="preserve">Calculate financial ratios and apply in the analysis of financial performance. </w:t>
      </w:r>
    </w:p>
    <w:p w:rsidR="00855A09" w:rsidRPr="0036367B" w:rsidRDefault="00855A09" w:rsidP="00855A09">
      <w:pPr>
        <w:shd w:val="clear" w:color="auto" w:fill="FFFFFF"/>
        <w:rPr>
          <w:rFonts w:ascii="Calibri" w:hAnsi="Calibri"/>
          <w:color w:val="000000"/>
          <w:sz w:val="22"/>
          <w:szCs w:val="24"/>
        </w:rPr>
      </w:pPr>
    </w:p>
    <w:p w:rsidR="00855A09" w:rsidRPr="00855A09" w:rsidRDefault="00855A09" w:rsidP="00855A09">
      <w:pPr>
        <w:shd w:val="clear" w:color="auto" w:fill="FFFFFF"/>
        <w:spacing w:line="360" w:lineRule="auto"/>
        <w:ind w:firstLine="720"/>
        <w:rPr>
          <w:rFonts w:asciiTheme="minorHAnsi" w:hAnsiTheme="minorHAnsi" w:cstheme="minorHAnsi"/>
          <w:sz w:val="22"/>
        </w:rPr>
      </w:pPr>
      <w:r w:rsidRPr="00855A09">
        <w:rPr>
          <w:rFonts w:asciiTheme="minorHAnsi" w:hAnsiTheme="minorHAnsi" w:cstheme="minorHAnsi"/>
          <w:b/>
          <w:color w:val="000000"/>
          <w:sz w:val="22"/>
          <w:szCs w:val="24"/>
        </w:rPr>
        <w:t>B</w:t>
      </w:r>
      <w:r w:rsidRPr="00855A09">
        <w:rPr>
          <w:rFonts w:asciiTheme="minorHAnsi" w:hAnsiTheme="minorHAnsi" w:cstheme="minorHAnsi"/>
          <w:b/>
          <w:color w:val="000000"/>
          <w:sz w:val="22"/>
          <w:szCs w:val="24"/>
        </w:rPr>
        <w:t>.</w:t>
      </w:r>
      <w:r w:rsidRPr="00855A09">
        <w:rPr>
          <w:rFonts w:asciiTheme="minorHAnsi" w:hAnsiTheme="minorHAnsi" w:cstheme="minorHAnsi"/>
          <w:color w:val="000000"/>
          <w:sz w:val="22"/>
          <w:szCs w:val="24"/>
        </w:rPr>
        <w:t xml:space="preserve"> </w:t>
      </w:r>
      <w:r w:rsidRPr="00855A09">
        <w:rPr>
          <w:rFonts w:asciiTheme="minorHAnsi" w:hAnsiTheme="minorHAnsi" w:cstheme="minorHAnsi"/>
          <w:b/>
          <w:sz w:val="22"/>
        </w:rPr>
        <w:t>Other Course Objectives/Standards</w:t>
      </w:r>
    </w:p>
    <w:p w:rsidR="00855A09" w:rsidRPr="00855A09" w:rsidRDefault="00855A09" w:rsidP="00855A09">
      <w:pPr>
        <w:pStyle w:val="Default"/>
        <w:numPr>
          <w:ilvl w:val="0"/>
          <w:numId w:val="5"/>
        </w:numPr>
        <w:rPr>
          <w:rFonts w:asciiTheme="minorHAnsi" w:hAnsiTheme="minorHAnsi" w:cstheme="minorHAnsi"/>
          <w:sz w:val="22"/>
          <w:szCs w:val="22"/>
        </w:rPr>
      </w:pPr>
      <w:r w:rsidRPr="00855A09">
        <w:rPr>
          <w:rFonts w:asciiTheme="minorHAnsi" w:hAnsiTheme="minorHAnsi" w:cstheme="minorHAnsi"/>
          <w:sz w:val="22"/>
          <w:szCs w:val="22"/>
        </w:rPr>
        <w:t xml:space="preserve">Prepare financial statements for both profit and not for profit organizations by using accounting terminology and concepts. </w:t>
      </w:r>
    </w:p>
    <w:p w:rsidR="00855A09" w:rsidRPr="00855A09" w:rsidRDefault="00855A09" w:rsidP="00855A09">
      <w:pPr>
        <w:pStyle w:val="Default"/>
        <w:numPr>
          <w:ilvl w:val="0"/>
          <w:numId w:val="5"/>
        </w:numPr>
        <w:rPr>
          <w:rFonts w:asciiTheme="minorHAnsi" w:hAnsiTheme="minorHAnsi" w:cstheme="minorHAnsi"/>
          <w:sz w:val="22"/>
          <w:szCs w:val="22"/>
        </w:rPr>
      </w:pPr>
      <w:r w:rsidRPr="00855A09">
        <w:rPr>
          <w:rFonts w:asciiTheme="minorHAnsi" w:hAnsiTheme="minorHAnsi" w:cstheme="minorHAnsi"/>
          <w:sz w:val="22"/>
          <w:szCs w:val="22"/>
        </w:rPr>
        <w:t xml:space="preserve">Evaluate ethical practices and use them in establishing a viable financial management strategy. </w:t>
      </w:r>
    </w:p>
    <w:p w:rsidR="00855A09" w:rsidRPr="00855A09" w:rsidRDefault="00855A09" w:rsidP="00855A09">
      <w:pPr>
        <w:pStyle w:val="Default"/>
        <w:numPr>
          <w:ilvl w:val="0"/>
          <w:numId w:val="5"/>
        </w:numPr>
        <w:rPr>
          <w:rFonts w:asciiTheme="minorHAnsi" w:hAnsiTheme="minorHAnsi" w:cstheme="minorHAnsi"/>
          <w:sz w:val="22"/>
          <w:szCs w:val="22"/>
        </w:rPr>
      </w:pPr>
      <w:r w:rsidRPr="00855A09">
        <w:rPr>
          <w:rFonts w:asciiTheme="minorHAnsi" w:hAnsiTheme="minorHAnsi" w:cstheme="minorHAnsi"/>
          <w:sz w:val="22"/>
          <w:szCs w:val="22"/>
        </w:rPr>
        <w:t xml:space="preserve">Analyze and interpret financial statements for both profit and not for profit organizations. </w:t>
      </w:r>
    </w:p>
    <w:p w:rsidR="00855A09" w:rsidRPr="00855A09" w:rsidRDefault="00855A09" w:rsidP="00855A09">
      <w:pPr>
        <w:pStyle w:val="Default"/>
        <w:numPr>
          <w:ilvl w:val="0"/>
          <w:numId w:val="5"/>
        </w:numPr>
        <w:rPr>
          <w:rFonts w:asciiTheme="minorHAnsi" w:hAnsiTheme="minorHAnsi" w:cstheme="minorHAnsi"/>
          <w:sz w:val="22"/>
          <w:szCs w:val="22"/>
        </w:rPr>
      </w:pPr>
      <w:r w:rsidRPr="00855A09">
        <w:rPr>
          <w:rFonts w:asciiTheme="minorHAnsi" w:hAnsiTheme="minorHAnsi" w:cstheme="minorHAnsi"/>
          <w:sz w:val="22"/>
          <w:szCs w:val="22"/>
        </w:rPr>
        <w:t xml:space="preserve">Apply decision making techniques using cost-volume-profit and differential analysis. </w:t>
      </w:r>
    </w:p>
    <w:p w:rsidR="00855A09" w:rsidRPr="00855A09" w:rsidRDefault="00855A09" w:rsidP="00855A09">
      <w:pPr>
        <w:pStyle w:val="Default"/>
        <w:numPr>
          <w:ilvl w:val="0"/>
          <w:numId w:val="5"/>
        </w:numPr>
        <w:rPr>
          <w:rFonts w:asciiTheme="minorHAnsi" w:hAnsiTheme="minorHAnsi" w:cstheme="minorHAnsi"/>
          <w:sz w:val="22"/>
          <w:szCs w:val="22"/>
        </w:rPr>
      </w:pPr>
      <w:r w:rsidRPr="00855A09">
        <w:rPr>
          <w:rFonts w:asciiTheme="minorHAnsi" w:hAnsiTheme="minorHAnsi" w:cstheme="minorHAnsi"/>
          <w:sz w:val="22"/>
          <w:szCs w:val="22"/>
        </w:rPr>
        <w:t xml:space="preserve">Prepare and explain an operating budget and a capital expense budget. </w:t>
      </w:r>
    </w:p>
    <w:p w:rsidR="00855A09" w:rsidRPr="00855A09" w:rsidRDefault="00855A09" w:rsidP="00855A09">
      <w:pPr>
        <w:pStyle w:val="Default"/>
        <w:numPr>
          <w:ilvl w:val="0"/>
          <w:numId w:val="5"/>
        </w:numPr>
        <w:rPr>
          <w:rFonts w:asciiTheme="minorHAnsi" w:hAnsiTheme="minorHAnsi" w:cstheme="minorHAnsi"/>
          <w:sz w:val="22"/>
          <w:szCs w:val="22"/>
        </w:rPr>
      </w:pPr>
      <w:r w:rsidRPr="00855A09">
        <w:rPr>
          <w:rFonts w:asciiTheme="minorHAnsi" w:hAnsiTheme="minorHAnsi" w:cstheme="minorHAnsi"/>
          <w:sz w:val="22"/>
          <w:szCs w:val="22"/>
        </w:rPr>
        <w:t xml:space="preserve">Employ the relationships existing between planning, directing, budgeting in establishing financial controls </w:t>
      </w:r>
    </w:p>
    <w:p w:rsidR="00855A09" w:rsidRPr="00855A09" w:rsidRDefault="00855A09" w:rsidP="00855A09">
      <w:pPr>
        <w:pStyle w:val="Default"/>
        <w:numPr>
          <w:ilvl w:val="0"/>
          <w:numId w:val="5"/>
        </w:numPr>
        <w:rPr>
          <w:rFonts w:asciiTheme="minorHAnsi" w:hAnsiTheme="minorHAnsi" w:cstheme="minorHAnsi"/>
          <w:sz w:val="22"/>
          <w:szCs w:val="22"/>
        </w:rPr>
      </w:pPr>
      <w:r w:rsidRPr="00855A09">
        <w:rPr>
          <w:rFonts w:asciiTheme="minorHAnsi" w:hAnsiTheme="minorHAnsi" w:cstheme="minorHAnsi"/>
          <w:sz w:val="22"/>
          <w:szCs w:val="22"/>
        </w:rPr>
        <w:t xml:space="preserve">Use the tools of managerial accounting to communicate business decisions by analyzing case studies. </w:t>
      </w:r>
    </w:p>
    <w:p w:rsidR="00855A09" w:rsidRPr="00855A09" w:rsidRDefault="00855A09" w:rsidP="00855A09">
      <w:pPr>
        <w:pStyle w:val="Default"/>
        <w:numPr>
          <w:ilvl w:val="0"/>
          <w:numId w:val="5"/>
        </w:numPr>
        <w:rPr>
          <w:rFonts w:asciiTheme="minorHAnsi" w:hAnsiTheme="minorHAnsi" w:cstheme="minorHAnsi"/>
          <w:sz w:val="22"/>
          <w:szCs w:val="22"/>
        </w:rPr>
      </w:pPr>
      <w:r w:rsidRPr="00855A09">
        <w:rPr>
          <w:rFonts w:asciiTheme="minorHAnsi" w:hAnsiTheme="minorHAnsi" w:cstheme="minorHAnsi"/>
          <w:sz w:val="22"/>
          <w:szCs w:val="22"/>
        </w:rPr>
        <w:t xml:space="preserve">Apply accounting principles and procedures within the context of the students’ major discipline concentration. </w:t>
      </w:r>
    </w:p>
    <w:p w:rsidR="00592E03" w:rsidRPr="007F3FB4" w:rsidRDefault="00592E03" w:rsidP="00DA66CF">
      <w:pPr>
        <w:ind w:left="720"/>
        <w:rPr>
          <w:rFonts w:ascii="Calibri" w:hAnsi="Calibri" w:cs="Arial"/>
          <w:b/>
          <w:sz w:val="22"/>
          <w:szCs w:val="22"/>
          <w:u w:val="single"/>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7F3FB4">
        <w:rPr>
          <w:rFonts w:ascii="Calibri" w:hAnsi="Calibri"/>
          <w:sz w:val="22"/>
          <w:szCs w:val="22"/>
        </w:rPr>
        <w:lastRenderedPageBreak/>
        <w:t xml:space="preserve">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Pr="007F3FB4" w:rsidRDefault="0019349D" w:rsidP="00DA66CF">
      <w:pPr>
        <w:tabs>
          <w:tab w:val="left" w:pos="720"/>
        </w:tabs>
        <w:ind w:left="720"/>
        <w:rPr>
          <w:rFonts w:ascii="Calibri" w:hAnsi="Calibri" w:cs="Arial"/>
          <w:bCs/>
          <w:iCs/>
          <w:sz w:val="22"/>
          <w:szCs w:val="22"/>
        </w:rPr>
        <w:sectPr w:rsidR="0019349D" w:rsidRPr="007F3FB4" w:rsidSect="00855A0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DA66CF">
      <w:pPr>
        <w:tabs>
          <w:tab w:val="left" w:pos="720"/>
        </w:tabs>
        <w:ind w:left="720"/>
        <w:rPr>
          <w:rFonts w:ascii="Calibri" w:hAnsi="Calibri" w:cs="Arial"/>
          <w:bCs/>
          <w:iCs/>
          <w:sz w:val="22"/>
          <w:szCs w:val="22"/>
        </w:rPr>
      </w:pPr>
      <w:bookmarkStart w:id="1" w:name="_GoBack"/>
      <w:bookmarkEnd w:id="1"/>
    </w:p>
    <w:p w:rsidR="00191C68" w:rsidRPr="007F3FB4" w:rsidRDefault="00191C68" w:rsidP="00F33F02">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90 - 100      =      A</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70 - 79        =      C</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60 - 69        =      D</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Below 60    =      F</w:t>
      </w:r>
    </w:p>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FB4" w:rsidRDefault="007F3FB4" w:rsidP="003A608C">
      <w:r>
        <w:separator/>
      </w:r>
    </w:p>
  </w:endnote>
  <w:endnote w:type="continuationSeparator" w:id="0">
    <w:p w:rsidR="007F3FB4" w:rsidRDefault="007F3FB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55A09">
      <w:rPr>
        <w:rFonts w:ascii="Calibri" w:hAnsi="Calibri" w:cs="Arial"/>
        <w:noProof/>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855A09">
      <w:rPr>
        <w:rFonts w:ascii="Calibri" w:hAnsi="Calibri" w:cs="Arial"/>
        <w:noProof/>
        <w:sz w:val="22"/>
        <w:szCs w:val="22"/>
      </w:rPr>
      <w:t>3</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855A09" w:rsidRDefault="00855A09" w:rsidP="00855A0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FB4" w:rsidRDefault="007F3FB4" w:rsidP="003A608C">
      <w:r>
        <w:separator/>
      </w:r>
    </w:p>
  </w:footnote>
  <w:footnote w:type="continuationSeparator" w:id="0">
    <w:p w:rsidR="007F3FB4" w:rsidRDefault="007F3FB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B1FB3" w:rsidRDefault="00191C68" w:rsidP="00747EF2">
    <w:pPr>
      <w:pStyle w:val="Header"/>
      <w:pBdr>
        <w:bottom w:val="thinThickSmallGap" w:sz="18" w:space="1" w:color="0D0D0D"/>
      </w:pBdr>
      <w:jc w:val="right"/>
    </w:pPr>
    <w:r w:rsidRPr="002E4EB4">
      <w:rPr>
        <w:rFonts w:ascii="Calibri" w:hAnsi="Calibri" w:cs="Arial"/>
        <w:noProof/>
        <w:sz w:val="22"/>
        <w:szCs w:val="22"/>
      </w:rPr>
      <w:t>ACG 3024 ACCOUNTING FOR NON-ACCOUNTING MAJORS</w:t>
    </w:r>
  </w:p>
  <w:p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09" w:rsidRDefault="00855A09" w:rsidP="00855A09">
    <w:pPr>
      <w:pStyle w:val="Header"/>
      <w:jc w:val="right"/>
    </w:pPr>
    <w:r w:rsidRPr="00D55873">
      <w:rPr>
        <w:noProof/>
        <w:lang w:eastAsia="en-US"/>
      </w:rPr>
      <w:drawing>
        <wp:inline distT="0" distB="0" distL="0" distR="0" wp14:anchorId="4105A3D0" wp14:editId="106A49E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55A09" w:rsidRDefault="00855A09" w:rsidP="00855A09">
    <w:pPr>
      <w:pStyle w:val="Header"/>
      <w:tabs>
        <w:tab w:val="left" w:pos="3514"/>
      </w:tabs>
    </w:pPr>
    <w:r>
      <w:tab/>
    </w:r>
    <w:r>
      <w:tab/>
    </w:r>
    <w:r>
      <w:tab/>
    </w:r>
  </w:p>
  <w:p w:rsidR="00855A09" w:rsidRDefault="00855A09" w:rsidP="00855A09">
    <w:pPr>
      <w:pStyle w:val="Header"/>
      <w:contextualSpacing/>
      <w:jc w:val="right"/>
      <w:rPr>
        <w:b/>
        <w:color w:val="470A68"/>
        <w:sz w:val="28"/>
      </w:rPr>
    </w:pPr>
    <w:r>
      <w:rPr>
        <w:b/>
        <w:color w:val="470A68"/>
        <w:sz w:val="28"/>
      </w:rPr>
      <w:t>School of Business and Technology</w:t>
    </w:r>
  </w:p>
  <w:p w:rsidR="00191C68" w:rsidRPr="00855A09" w:rsidRDefault="00855A09" w:rsidP="00855A09">
    <w:pPr>
      <w:pStyle w:val="Header"/>
      <w:contextualSpacing/>
      <w:jc w:val="right"/>
      <w:rPr>
        <w:b/>
        <w:color w:val="470A68"/>
        <w:sz w:val="28"/>
      </w:rPr>
    </w:pPr>
    <w:r>
      <w:rPr>
        <w:noProof/>
        <w:lang w:eastAsia="en-US"/>
      </w:rPr>
      <mc:AlternateContent>
        <mc:Choice Requires="wps">
          <w:drawing>
            <wp:inline distT="0" distB="0" distL="0" distR="0" wp14:anchorId="58A175CF" wp14:editId="4531791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E371A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8141AA"/>
    <w:multiLevelType w:val="hybridMultilevel"/>
    <w:tmpl w:val="61161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ORXxdH8CBOqjW6W0WwikG3ZL7qlYzD/mVBuo0TP7DbobP0VX52zin2cz26r2nvkJ7WGM3r6Lo3HsnlKLlxqrA==" w:salt="VkTzwY6F8WSJqxF6ElB+v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5A09"/>
    <w:rsid w:val="00857017"/>
    <w:rsid w:val="00860757"/>
    <w:rsid w:val="008641B9"/>
    <w:rsid w:val="00871451"/>
    <w:rsid w:val="008734F9"/>
    <w:rsid w:val="00874DEB"/>
    <w:rsid w:val="00875AAA"/>
    <w:rsid w:val="00882197"/>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032A189"/>
  <w15:chartTrackingRefBased/>
  <w15:docId w15:val="{3CE2444F-49E7-4770-8EAF-BEFA3ADA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 w:type="paragraph" w:customStyle="1" w:styleId="Default">
    <w:name w:val="Default"/>
    <w:rsid w:val="00855A0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0366-E1ED-407E-B71C-8772719B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830</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2016-12-13T00:45:00Z</dcterms:created>
  <dcterms:modified xsi:type="dcterms:W3CDTF">2016-12-13T00:45:00Z</dcterms:modified>
</cp:coreProperties>
</file>