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2686"/>
        <w:gridCol w:w="2601"/>
        <w:gridCol w:w="2601"/>
        <w:gridCol w:w="2551"/>
      </w:tblGrid>
      <w:tr w:rsidR="006613B6" w14:paraId="1CF59D90" w14:textId="4FC04E3F" w:rsidTr="006613B6">
        <w:tc>
          <w:tcPr>
            <w:tcW w:w="2511" w:type="dxa"/>
            <w:shd w:val="clear" w:color="auto" w:fill="E7E6E6" w:themeFill="background2"/>
          </w:tcPr>
          <w:p w14:paraId="2DFABE69" w14:textId="52108694" w:rsidR="00A45C27" w:rsidRPr="00A45C27" w:rsidRDefault="00A45C27" w:rsidP="00A45C27">
            <w:pPr>
              <w:jc w:val="center"/>
              <w:rPr>
                <w:b/>
                <w:bCs/>
              </w:rPr>
            </w:pPr>
            <w:r w:rsidRPr="00A45C27">
              <w:rPr>
                <w:b/>
                <w:bCs/>
              </w:rPr>
              <w:t xml:space="preserve">Pre-Nursing </w:t>
            </w:r>
          </w:p>
          <w:p w14:paraId="7DEAFA68" w14:textId="7A1350D2" w:rsidR="00A45C27" w:rsidRDefault="00A45C27" w:rsidP="00A45C27">
            <w:pPr>
              <w:jc w:val="center"/>
            </w:pPr>
            <w:r>
              <w:t>(1</w:t>
            </w:r>
            <w:r w:rsidR="0008187B">
              <w:t>3</w:t>
            </w:r>
            <w:r>
              <w:t xml:space="preserve"> credits)</w:t>
            </w:r>
          </w:p>
        </w:tc>
        <w:tc>
          <w:tcPr>
            <w:tcW w:w="2686" w:type="dxa"/>
            <w:shd w:val="clear" w:color="auto" w:fill="E7E6E6" w:themeFill="background2"/>
          </w:tcPr>
          <w:p w14:paraId="271BFF85" w14:textId="19F6482D" w:rsidR="006613B6" w:rsidRDefault="0008187B" w:rsidP="00A45C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Nursing</w:t>
            </w:r>
            <w:r w:rsidR="006613B6" w:rsidRPr="00A45C27">
              <w:rPr>
                <w:b/>
                <w:bCs/>
              </w:rPr>
              <w:t xml:space="preserve"> </w:t>
            </w:r>
            <w:r w:rsidR="00A45C27">
              <w:rPr>
                <w:b/>
                <w:bCs/>
              </w:rPr>
              <w:t>1</w:t>
            </w:r>
          </w:p>
          <w:p w14:paraId="3A95564D" w14:textId="54E8458F" w:rsidR="00A45C27" w:rsidRPr="00A45C27" w:rsidRDefault="00A45C27" w:rsidP="00A45C27">
            <w:pPr>
              <w:jc w:val="center"/>
            </w:pPr>
            <w:r>
              <w:t>(1</w:t>
            </w:r>
            <w:r w:rsidR="00BA5368">
              <w:t>5</w:t>
            </w:r>
            <w:r>
              <w:t xml:space="preserve"> credits)</w:t>
            </w:r>
          </w:p>
        </w:tc>
        <w:tc>
          <w:tcPr>
            <w:tcW w:w="2601" w:type="dxa"/>
            <w:shd w:val="clear" w:color="auto" w:fill="E7E6E6" w:themeFill="background2"/>
          </w:tcPr>
          <w:p w14:paraId="7FFA8DEF" w14:textId="6680CB61" w:rsidR="006613B6" w:rsidRDefault="008870A2" w:rsidP="00991C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Nursing</w:t>
            </w:r>
            <w:r w:rsidR="006613B6" w:rsidRPr="00991C1A">
              <w:rPr>
                <w:b/>
                <w:bCs/>
              </w:rPr>
              <w:t xml:space="preserve"> </w:t>
            </w:r>
            <w:r w:rsidR="00991C1A">
              <w:rPr>
                <w:b/>
                <w:bCs/>
              </w:rPr>
              <w:t>2</w:t>
            </w:r>
          </w:p>
          <w:p w14:paraId="0E1C9ED1" w14:textId="3C00C6B6" w:rsidR="00991C1A" w:rsidRPr="00991C1A" w:rsidRDefault="00991C1A" w:rsidP="00991C1A">
            <w:pPr>
              <w:jc w:val="center"/>
            </w:pPr>
            <w:r>
              <w:t>(1</w:t>
            </w:r>
            <w:r w:rsidR="00DA6C80">
              <w:t>4</w:t>
            </w:r>
            <w:r>
              <w:t xml:space="preserve"> credits)</w:t>
            </w:r>
          </w:p>
        </w:tc>
        <w:tc>
          <w:tcPr>
            <w:tcW w:w="2601" w:type="dxa"/>
            <w:shd w:val="clear" w:color="auto" w:fill="E7E6E6" w:themeFill="background2"/>
          </w:tcPr>
          <w:p w14:paraId="30D0D764" w14:textId="0FAE1AAD" w:rsidR="006613B6" w:rsidRDefault="008870A2" w:rsidP="007F7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Nursing</w:t>
            </w:r>
            <w:r w:rsidR="006613B6" w:rsidRPr="007F783B">
              <w:rPr>
                <w:b/>
                <w:bCs/>
              </w:rPr>
              <w:t xml:space="preserve"> </w:t>
            </w:r>
            <w:r w:rsidR="007F783B">
              <w:rPr>
                <w:b/>
                <w:bCs/>
              </w:rPr>
              <w:t>3</w:t>
            </w:r>
          </w:p>
          <w:p w14:paraId="7B057F67" w14:textId="14BB47A1" w:rsidR="007F783B" w:rsidRPr="007F783B" w:rsidRDefault="007F783B" w:rsidP="007F783B">
            <w:pPr>
              <w:jc w:val="center"/>
            </w:pPr>
            <w:r>
              <w:t>(16 credits)</w:t>
            </w:r>
          </w:p>
        </w:tc>
        <w:tc>
          <w:tcPr>
            <w:tcW w:w="2551" w:type="dxa"/>
            <w:shd w:val="clear" w:color="auto" w:fill="E7E6E6" w:themeFill="background2"/>
          </w:tcPr>
          <w:p w14:paraId="57FB283B" w14:textId="3DB4BCA3" w:rsidR="006613B6" w:rsidRDefault="008870A2" w:rsidP="000C5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Nursing</w:t>
            </w:r>
            <w:r w:rsidR="006613B6" w:rsidRPr="000C580F">
              <w:rPr>
                <w:b/>
                <w:bCs/>
              </w:rPr>
              <w:t xml:space="preserve"> </w:t>
            </w:r>
            <w:r w:rsidR="000C580F">
              <w:rPr>
                <w:b/>
                <w:bCs/>
              </w:rPr>
              <w:t>4</w:t>
            </w:r>
          </w:p>
          <w:p w14:paraId="1F86B69B" w14:textId="0D1B36F9" w:rsidR="000C580F" w:rsidRPr="000C580F" w:rsidRDefault="000C580F" w:rsidP="000C580F">
            <w:pPr>
              <w:jc w:val="center"/>
            </w:pPr>
            <w:r>
              <w:t>(1</w:t>
            </w:r>
            <w:r w:rsidR="00BA5368">
              <w:t>4</w:t>
            </w:r>
            <w:r>
              <w:t xml:space="preserve"> credits)</w:t>
            </w:r>
          </w:p>
        </w:tc>
      </w:tr>
      <w:tr w:rsidR="006613B6" w14:paraId="3D075BF7" w14:textId="0E182B7B" w:rsidTr="006613B6">
        <w:tc>
          <w:tcPr>
            <w:tcW w:w="2511" w:type="dxa"/>
          </w:tcPr>
          <w:p w14:paraId="4AD652FC" w14:textId="52FE8575" w:rsidR="00DA6C80" w:rsidRDefault="00DA6C80" w:rsidP="00DA6C80">
            <w:pPr>
              <w:rPr>
                <w:b/>
                <w:bCs/>
              </w:rPr>
            </w:pPr>
            <w:r>
              <w:rPr>
                <w:b/>
                <w:bCs/>
              </w:rPr>
              <w:t>HUN 1201 Human Nutrition (3 credits)</w:t>
            </w:r>
          </w:p>
          <w:p w14:paraId="0952AEA0" w14:textId="77777777" w:rsidR="00E80CD7" w:rsidRDefault="00E80CD7" w:rsidP="00DA6C80">
            <w:pPr>
              <w:rPr>
                <w:b/>
                <w:bCs/>
              </w:rPr>
            </w:pPr>
          </w:p>
          <w:p w14:paraId="1B3A66B7" w14:textId="77777777" w:rsidR="00DA6C80" w:rsidRDefault="00DA6C80" w:rsidP="00DA6C80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 w:rsidRPr="00974002">
              <w:rPr>
                <w:color w:val="FF0000"/>
              </w:rPr>
              <w:t xml:space="preserve">: </w:t>
            </w:r>
            <w:r w:rsidRPr="00300557">
              <w:rPr>
                <w:rStyle w:val="Emphasis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SB1720 Testing exemption or successful completion of all Developmental courses.</w:t>
            </w:r>
          </w:p>
          <w:p w14:paraId="2A8333CD" w14:textId="77777777" w:rsidR="00DA6C80" w:rsidRDefault="00DA6C80" w:rsidP="00DA6C80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  <w:p w14:paraId="69361F95" w14:textId="7241EB3E" w:rsidR="006613B6" w:rsidRDefault="006613B6" w:rsidP="002A6F42"/>
        </w:tc>
        <w:tc>
          <w:tcPr>
            <w:tcW w:w="2686" w:type="dxa"/>
          </w:tcPr>
          <w:p w14:paraId="6FBDDB18" w14:textId="38625E83" w:rsidR="00D31F1E" w:rsidRDefault="00D31F1E" w:rsidP="00D31F1E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E141AD">
              <w:rPr>
                <w:b/>
                <w:bCs/>
              </w:rPr>
              <w:t>1020</w:t>
            </w:r>
            <w:r w:rsidR="004473F1">
              <w:rPr>
                <w:b/>
                <w:bCs/>
              </w:rPr>
              <w:t>C Fundamentals</w:t>
            </w:r>
            <w:r>
              <w:rPr>
                <w:b/>
                <w:bCs/>
              </w:rPr>
              <w:t xml:space="preserve"> of Nursing I (</w:t>
            </w:r>
            <w:r w:rsidR="0008187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credits)</w:t>
            </w:r>
          </w:p>
          <w:p w14:paraId="61DEFBBF" w14:textId="7C2026C6" w:rsidR="00D94199" w:rsidRDefault="006613B6" w:rsidP="006613B6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6825C0">
              <w:t>Acceptance to the ASN program</w:t>
            </w:r>
          </w:p>
          <w:p w14:paraId="4283DDD4" w14:textId="3A9B860B" w:rsidR="006613B6" w:rsidRDefault="006613B6" w:rsidP="006613B6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0B24C4">
              <w:t>None</w:t>
            </w:r>
          </w:p>
        </w:tc>
        <w:tc>
          <w:tcPr>
            <w:tcW w:w="2601" w:type="dxa"/>
          </w:tcPr>
          <w:p w14:paraId="7DEE310B" w14:textId="08379C62" w:rsidR="00EC1036" w:rsidRDefault="00EC1036" w:rsidP="00EC1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7F4E13">
              <w:rPr>
                <w:b/>
                <w:bCs/>
              </w:rPr>
              <w:t>1050</w:t>
            </w:r>
            <w:r>
              <w:rPr>
                <w:b/>
                <w:bCs/>
              </w:rPr>
              <w:t>C</w:t>
            </w:r>
            <w:r>
              <w:t xml:space="preserve"> </w:t>
            </w:r>
            <w:r>
              <w:rPr>
                <w:b/>
                <w:bCs/>
              </w:rPr>
              <w:t>Fundamentals of Nursing II (</w:t>
            </w:r>
            <w:r w:rsidR="005F02C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credits)</w:t>
            </w:r>
          </w:p>
          <w:p w14:paraId="1C9362F8" w14:textId="77777777" w:rsidR="00C76949" w:rsidRDefault="00C76949" w:rsidP="00EC1036">
            <w:pPr>
              <w:rPr>
                <w:b/>
                <w:bCs/>
              </w:rPr>
            </w:pPr>
          </w:p>
          <w:p w14:paraId="609DA6CA" w14:textId="38AEA1AB" w:rsidR="00D94199" w:rsidRDefault="006613B6" w:rsidP="006613B6">
            <w:r w:rsidRPr="00AE61AA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54062A">
              <w:t>NUR 1020C, NUR 1068C, and NUR 2092 all with a C or better</w:t>
            </w:r>
          </w:p>
          <w:p w14:paraId="193E8EAD" w14:textId="0530B907" w:rsidR="006613B6" w:rsidRDefault="006613B6" w:rsidP="006613B6">
            <w:r w:rsidRPr="00AE61AA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3851C1">
              <w:t xml:space="preserve"> </w:t>
            </w:r>
            <w:r w:rsidR="000B24C4">
              <w:t>None</w:t>
            </w:r>
          </w:p>
        </w:tc>
        <w:tc>
          <w:tcPr>
            <w:tcW w:w="2601" w:type="dxa"/>
          </w:tcPr>
          <w:p w14:paraId="567B1585" w14:textId="219DCB7A" w:rsidR="00651E24" w:rsidRDefault="00651E24" w:rsidP="00651E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D410FC">
              <w:rPr>
                <w:b/>
                <w:bCs/>
              </w:rPr>
              <w:t>221</w:t>
            </w:r>
            <w:r w:rsidR="00C24D75">
              <w:rPr>
                <w:b/>
                <w:bCs/>
              </w:rPr>
              <w:t>1</w:t>
            </w:r>
            <w:r>
              <w:rPr>
                <w:b/>
                <w:bCs/>
              </w:rPr>
              <w:t>C Adult Health Nursing I (5 credits)</w:t>
            </w:r>
          </w:p>
          <w:p w14:paraId="7929F5E3" w14:textId="77777777" w:rsidR="006613B6" w:rsidRDefault="006613B6" w:rsidP="006613B6">
            <w:pPr>
              <w:rPr>
                <w:u w:val="single"/>
              </w:rPr>
            </w:pPr>
          </w:p>
          <w:p w14:paraId="626BFBE9" w14:textId="77777777" w:rsidR="00C37038" w:rsidRDefault="006613B6" w:rsidP="006613B6">
            <w:r w:rsidRPr="008C1752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9C28D7">
              <w:t xml:space="preserve">NUR </w:t>
            </w:r>
            <w:r w:rsidR="00391F43">
              <w:t>1050</w:t>
            </w:r>
            <w:r w:rsidR="009C28D7">
              <w:t>C</w:t>
            </w:r>
            <w:r w:rsidR="0054062A">
              <w:t xml:space="preserve">, NUR 1511C, and NUR 2144 </w:t>
            </w:r>
          </w:p>
          <w:p w14:paraId="7A66ED19" w14:textId="331C5EC2" w:rsidR="00D94199" w:rsidRDefault="0054062A" w:rsidP="006613B6">
            <w:r>
              <w:t>all</w:t>
            </w:r>
            <w:r w:rsidR="004C4375">
              <w:t xml:space="preserve"> with a C or better</w:t>
            </w:r>
          </w:p>
          <w:p w14:paraId="61C4268A" w14:textId="339C6302" w:rsidR="006613B6" w:rsidRDefault="006613B6" w:rsidP="006613B6">
            <w:r w:rsidRPr="008C1752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4C4375">
              <w:t xml:space="preserve"> </w:t>
            </w:r>
            <w:r w:rsidR="000B24C4">
              <w:t>None</w:t>
            </w:r>
          </w:p>
        </w:tc>
        <w:tc>
          <w:tcPr>
            <w:tcW w:w="2551" w:type="dxa"/>
          </w:tcPr>
          <w:p w14:paraId="404C9555" w14:textId="7B4464DD" w:rsidR="006B450A" w:rsidRDefault="006B450A" w:rsidP="006B4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2767AB">
              <w:rPr>
                <w:b/>
                <w:bCs/>
              </w:rPr>
              <w:t>22</w:t>
            </w:r>
            <w:r w:rsidR="00C24D75">
              <w:rPr>
                <w:b/>
                <w:bCs/>
              </w:rPr>
              <w:t>13</w:t>
            </w:r>
            <w:r>
              <w:rPr>
                <w:b/>
                <w:bCs/>
              </w:rPr>
              <w:t>C Adult Health Nursing II (5 credits)</w:t>
            </w:r>
          </w:p>
          <w:p w14:paraId="795D9A57" w14:textId="77777777" w:rsidR="006613B6" w:rsidRDefault="006613B6" w:rsidP="006613B6">
            <w:pPr>
              <w:rPr>
                <w:u w:val="single"/>
              </w:rPr>
            </w:pPr>
          </w:p>
          <w:p w14:paraId="57F6F2C4" w14:textId="14EDB288" w:rsidR="00D94199" w:rsidRDefault="006613B6" w:rsidP="006613B6">
            <w:r w:rsidRPr="00D13AED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092082">
              <w:t xml:space="preserve">NUR </w:t>
            </w:r>
            <w:r w:rsidR="004E12B0">
              <w:t>221</w:t>
            </w:r>
            <w:r w:rsidR="00C24D75">
              <w:t>1</w:t>
            </w:r>
            <w:r w:rsidR="00092082">
              <w:t>C</w:t>
            </w:r>
            <w:r w:rsidR="0054062A">
              <w:t xml:space="preserve"> and NUR 2420C both</w:t>
            </w:r>
            <w:r w:rsidR="0085058C">
              <w:t xml:space="preserve"> with a</w:t>
            </w:r>
            <w:r w:rsidR="0046743E">
              <w:t xml:space="preserve"> </w:t>
            </w:r>
            <w:r w:rsidR="0085058C">
              <w:t>C or better</w:t>
            </w:r>
          </w:p>
          <w:p w14:paraId="5048D8FC" w14:textId="1DFD9F76" w:rsidR="006613B6" w:rsidRDefault="006613B6" w:rsidP="006613B6">
            <w:pPr>
              <w:rPr>
                <w:u w:val="single"/>
              </w:rPr>
            </w:pPr>
            <w:r w:rsidRPr="00D13AED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85058C">
              <w:t xml:space="preserve"> </w:t>
            </w:r>
            <w:r w:rsidR="000B24C4">
              <w:t>None</w:t>
            </w:r>
          </w:p>
        </w:tc>
      </w:tr>
      <w:tr w:rsidR="006613B6" w14:paraId="740AF03A" w14:textId="15B92A72" w:rsidTr="006613B6">
        <w:tc>
          <w:tcPr>
            <w:tcW w:w="2511" w:type="dxa"/>
          </w:tcPr>
          <w:p w14:paraId="2A5443A5" w14:textId="77777777" w:rsidR="002A6F42" w:rsidRPr="003F3152" w:rsidRDefault="002A6F42" w:rsidP="002A6F42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ENC 1101: English Composition (3 credits)</w:t>
            </w:r>
          </w:p>
          <w:p w14:paraId="2014E39E" w14:textId="56BC5CE2" w:rsidR="002A6F42" w:rsidRDefault="002A6F42" w:rsidP="002A6F42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SB 1720 Testing Exemption or Testing into</w:t>
            </w:r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6" w:tgtFrame="_blank" w:history="1">
              <w:r w:rsidRPr="00300557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ENC 1101</w:t>
              </w:r>
            </w:hyperlink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; or completion of {(ENC 0025 and REA 0017) or (</w:t>
            </w:r>
            <w:hyperlink r:id="rId7" w:tgtFrame="_blank" w:history="1">
              <w:r w:rsidRPr="00300557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ENC 0022</w:t>
              </w:r>
            </w:hyperlink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and</w:t>
            </w:r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8" w:tgtFrame="_blank" w:history="1">
              <w:r w:rsidRPr="00300557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REA 0019</w:t>
              </w:r>
            </w:hyperlink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)} with a “C” or better; or</w:t>
            </w:r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9" w:tgtFrame="_blank" w:history="1">
              <w:r w:rsidRPr="00300557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EAP 1620</w:t>
              </w:r>
            </w:hyperlink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and</w:t>
            </w:r>
            <w:r w:rsidRPr="00300557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10" w:tgtFrame="_blank" w:history="1">
              <w:r w:rsidRPr="00300557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EAP 1640</w:t>
              </w:r>
            </w:hyperlink>
            <w:r w:rsidRPr="00300557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 xml:space="preserve"> with a “C” or better; or an eligible testing/course completion combination</w:t>
            </w:r>
          </w:p>
          <w:p w14:paraId="0CCBFB82" w14:textId="5C6CD88C" w:rsidR="006613B6" w:rsidRDefault="002A6F42" w:rsidP="002A6F42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</w:tc>
        <w:tc>
          <w:tcPr>
            <w:tcW w:w="2686" w:type="dxa"/>
          </w:tcPr>
          <w:p w14:paraId="0B09ADC6" w14:textId="52DD4816" w:rsidR="009F20FD" w:rsidRDefault="009F20FD" w:rsidP="009F20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753202">
              <w:rPr>
                <w:b/>
                <w:bCs/>
              </w:rPr>
              <w:t>1068</w:t>
            </w:r>
            <w:r>
              <w:rPr>
                <w:b/>
                <w:bCs/>
              </w:rPr>
              <w:t>C: Health Assessment (</w:t>
            </w:r>
            <w:r w:rsidR="00C24D7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346CF7FD" w14:textId="77777777" w:rsidR="00751AA1" w:rsidRDefault="00751AA1" w:rsidP="009F20FD">
            <w:pPr>
              <w:rPr>
                <w:b/>
                <w:bCs/>
              </w:rPr>
            </w:pPr>
          </w:p>
          <w:p w14:paraId="41D7AC80" w14:textId="5EEB884F" w:rsidR="00D94199" w:rsidRDefault="006613B6" w:rsidP="006613B6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284AAA">
              <w:t>Acceptance to the ASN program</w:t>
            </w:r>
          </w:p>
          <w:p w14:paraId="27CABDDA" w14:textId="3555AC31" w:rsidR="006613B6" w:rsidRDefault="006613B6" w:rsidP="006613B6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284AAA">
              <w:t>None</w:t>
            </w:r>
          </w:p>
        </w:tc>
        <w:tc>
          <w:tcPr>
            <w:tcW w:w="2601" w:type="dxa"/>
          </w:tcPr>
          <w:p w14:paraId="7A279534" w14:textId="7E61B409" w:rsidR="00EC1036" w:rsidRDefault="00EC1036" w:rsidP="00EC1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737882">
              <w:rPr>
                <w:b/>
                <w:bCs/>
              </w:rPr>
              <w:t>1511</w:t>
            </w:r>
            <w:r>
              <w:rPr>
                <w:b/>
                <w:bCs/>
              </w:rPr>
              <w:t>C Mental Health Nursing (</w:t>
            </w:r>
            <w:r w:rsidR="00C24D7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4CBB952A" w14:textId="77777777" w:rsidR="00751AA1" w:rsidRDefault="00751AA1" w:rsidP="00EC1036">
            <w:pPr>
              <w:rPr>
                <w:b/>
                <w:bCs/>
              </w:rPr>
            </w:pPr>
          </w:p>
          <w:p w14:paraId="472C6017" w14:textId="1BE926AF" w:rsidR="00D94199" w:rsidRDefault="006613B6" w:rsidP="006613B6">
            <w:r w:rsidRPr="00AE61AA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C427FD">
              <w:t>NUR 1020C</w:t>
            </w:r>
            <w:r w:rsidR="0054062A">
              <w:t>, NUR 1068C, and NUR 2092 all</w:t>
            </w:r>
            <w:r w:rsidR="00C427FD">
              <w:t xml:space="preserve"> with a C or better</w:t>
            </w:r>
          </w:p>
          <w:p w14:paraId="1101915F" w14:textId="6807E020" w:rsidR="006613B6" w:rsidRDefault="006613B6" w:rsidP="006613B6">
            <w:r w:rsidRPr="00AE61AA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3851C1">
              <w:t>N</w:t>
            </w:r>
            <w:r w:rsidR="000B24C4">
              <w:t>one</w:t>
            </w:r>
          </w:p>
        </w:tc>
        <w:tc>
          <w:tcPr>
            <w:tcW w:w="2601" w:type="dxa"/>
          </w:tcPr>
          <w:p w14:paraId="03B5ABB0" w14:textId="53564E30" w:rsidR="00FB480C" w:rsidRDefault="00FB480C" w:rsidP="00FB48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D410FC">
              <w:rPr>
                <w:b/>
                <w:bCs/>
              </w:rPr>
              <w:t>2420</w:t>
            </w:r>
            <w:r>
              <w:rPr>
                <w:b/>
                <w:bCs/>
              </w:rPr>
              <w:t>C Maternal Nursing (4 credits)</w:t>
            </w:r>
          </w:p>
          <w:p w14:paraId="310270CA" w14:textId="77777777" w:rsidR="00751AA1" w:rsidRDefault="00751AA1" w:rsidP="00FB480C">
            <w:pPr>
              <w:rPr>
                <w:b/>
                <w:bCs/>
              </w:rPr>
            </w:pPr>
          </w:p>
          <w:p w14:paraId="685DCC87" w14:textId="63AC05C4" w:rsidR="00D94199" w:rsidRDefault="006613B6" w:rsidP="006613B6">
            <w:r w:rsidRPr="008C1752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54062A">
              <w:t xml:space="preserve">NUR 1050C, NUR 1511C, and NUR 2144 </w:t>
            </w:r>
            <w:bookmarkStart w:id="0" w:name="_GoBack"/>
            <w:bookmarkEnd w:id="0"/>
            <w:r w:rsidR="0054062A">
              <w:t>all with a C or better</w:t>
            </w:r>
          </w:p>
          <w:p w14:paraId="0A8038AD" w14:textId="5FA366AB" w:rsidR="006613B6" w:rsidRDefault="006613B6" w:rsidP="006613B6">
            <w:r w:rsidRPr="008C1752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4C4375">
              <w:t xml:space="preserve"> </w:t>
            </w:r>
            <w:r w:rsidR="000B24C4">
              <w:t>None</w:t>
            </w:r>
          </w:p>
        </w:tc>
        <w:tc>
          <w:tcPr>
            <w:tcW w:w="2551" w:type="dxa"/>
          </w:tcPr>
          <w:p w14:paraId="792516B5" w14:textId="6A54D9D0" w:rsidR="006B450A" w:rsidRDefault="006B450A" w:rsidP="006B4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NUR </w:t>
            </w:r>
            <w:r w:rsidR="002767AB">
              <w:rPr>
                <w:b/>
                <w:bCs/>
              </w:rPr>
              <w:t>2310</w:t>
            </w:r>
            <w:r>
              <w:rPr>
                <w:b/>
                <w:bCs/>
              </w:rPr>
              <w:t>C Pediatric Nursing (</w:t>
            </w:r>
            <w:r w:rsidR="002A31B6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credits)</w:t>
            </w:r>
          </w:p>
          <w:p w14:paraId="5667BED6" w14:textId="77777777" w:rsidR="006613B6" w:rsidRDefault="006613B6" w:rsidP="006613B6">
            <w:pPr>
              <w:rPr>
                <w:u w:val="single"/>
              </w:rPr>
            </w:pPr>
          </w:p>
          <w:p w14:paraId="2D1012AE" w14:textId="7B7CC328" w:rsidR="00D94199" w:rsidRDefault="006613B6" w:rsidP="006613B6">
            <w:r w:rsidRPr="00D13AED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54062A">
              <w:t>NUR 2211C and NUR 2420C both with a C or better</w:t>
            </w:r>
          </w:p>
          <w:p w14:paraId="7B9E044B" w14:textId="4D076126" w:rsidR="006613B6" w:rsidRDefault="006613B6" w:rsidP="006613B6">
            <w:pPr>
              <w:rPr>
                <w:u w:val="single"/>
              </w:rPr>
            </w:pPr>
            <w:r w:rsidRPr="00D13AED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85058C">
              <w:t xml:space="preserve"> </w:t>
            </w:r>
            <w:r w:rsidR="000B24C4">
              <w:t>None</w:t>
            </w:r>
          </w:p>
        </w:tc>
      </w:tr>
      <w:tr w:rsidR="006613B6" w14:paraId="57BB7C24" w14:textId="7817A9E1" w:rsidTr="006613B6">
        <w:tc>
          <w:tcPr>
            <w:tcW w:w="2511" w:type="dxa"/>
          </w:tcPr>
          <w:p w14:paraId="06240D28" w14:textId="5C72A31E" w:rsidR="002A6F42" w:rsidRPr="00B9106E" w:rsidRDefault="002A6F42" w:rsidP="002A6F42">
            <w:pPr>
              <w:rPr>
                <w:b/>
                <w:bCs/>
              </w:rPr>
            </w:pPr>
            <w:r>
              <w:rPr>
                <w:b/>
                <w:bCs/>
              </w:rPr>
              <w:t>DEP 2004 Lifespan Development (3 credits)</w:t>
            </w:r>
          </w:p>
          <w:p w14:paraId="30196B9C" w14:textId="77777777" w:rsidR="002A6F42" w:rsidRDefault="002A6F42" w:rsidP="002A6F42">
            <w:r w:rsidRPr="00B53EAD">
              <w:rPr>
                <w:b/>
                <w:bCs/>
                <w:color w:val="FF0000"/>
                <w:u w:val="single"/>
              </w:rPr>
              <w:t>Pre-req</w:t>
            </w:r>
            <w:r>
              <w:t>: None</w:t>
            </w:r>
          </w:p>
          <w:p w14:paraId="53C4678A" w14:textId="307B5A92" w:rsidR="00661453" w:rsidRDefault="002A6F42" w:rsidP="002A6F42">
            <w:r w:rsidRPr="00B53EAD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</w:tc>
        <w:tc>
          <w:tcPr>
            <w:tcW w:w="2686" w:type="dxa"/>
          </w:tcPr>
          <w:p w14:paraId="28203F04" w14:textId="3E9BF802" w:rsidR="009F20FD" w:rsidRDefault="009F20FD" w:rsidP="009F20FD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NUR 2092 Introduction to Pharmac</w:t>
            </w:r>
            <w:r w:rsidR="0085555F">
              <w:rPr>
                <w:b/>
                <w:bCs/>
              </w:rPr>
              <w:t>ological Nursing</w:t>
            </w:r>
            <w:r>
              <w:rPr>
                <w:b/>
                <w:bCs/>
              </w:rPr>
              <w:t xml:space="preserve"> (2 credits)</w:t>
            </w:r>
          </w:p>
          <w:p w14:paraId="066E802C" w14:textId="17276F75" w:rsidR="00D94199" w:rsidRPr="00BF5DDC" w:rsidRDefault="006613B6" w:rsidP="00D94199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B72150">
              <w:t>Acceptance to the ASN program</w:t>
            </w:r>
          </w:p>
          <w:p w14:paraId="488C3581" w14:textId="3EF2DF54" w:rsidR="006613B6" w:rsidRDefault="006613B6" w:rsidP="00D94199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0B24C4">
              <w:t>None</w:t>
            </w:r>
          </w:p>
        </w:tc>
        <w:tc>
          <w:tcPr>
            <w:tcW w:w="2601" w:type="dxa"/>
          </w:tcPr>
          <w:p w14:paraId="4ADBEB8F" w14:textId="07E5DD3C" w:rsidR="0085555F" w:rsidRDefault="0085555F" w:rsidP="0085555F">
            <w:pPr>
              <w:rPr>
                <w:b/>
                <w:bCs/>
              </w:rPr>
            </w:pPr>
            <w:r>
              <w:rPr>
                <w:b/>
                <w:bCs/>
              </w:rPr>
              <w:t>NUR 214</w:t>
            </w:r>
            <w:r w:rsidR="00F02CB9" w:rsidRPr="0057643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Pharmacological Nursing (2 credits)</w:t>
            </w:r>
          </w:p>
          <w:p w14:paraId="3613F88E" w14:textId="77777777" w:rsidR="007706CE" w:rsidRDefault="007706CE" w:rsidP="006613B6">
            <w:pPr>
              <w:rPr>
                <w:b/>
                <w:bCs/>
                <w:color w:val="FF0000"/>
                <w:u w:val="single"/>
              </w:rPr>
            </w:pPr>
          </w:p>
          <w:p w14:paraId="51F10356" w14:textId="2FB50C68" w:rsidR="006613B6" w:rsidRDefault="006613B6" w:rsidP="006613B6">
            <w:r w:rsidRPr="00AE61AA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2902C3">
              <w:t>NUR 2092</w:t>
            </w:r>
            <w:r w:rsidR="0029527D">
              <w:t xml:space="preserve"> </w:t>
            </w:r>
            <w:r w:rsidR="00E221C1" w:rsidRPr="00E221C1">
              <w:t>with a C or bette</w:t>
            </w:r>
            <w:r w:rsidR="00893141">
              <w:t>r</w:t>
            </w:r>
          </w:p>
          <w:p w14:paraId="4F64ECC6" w14:textId="77777777" w:rsidR="006613B6" w:rsidRDefault="006613B6" w:rsidP="006613B6">
            <w:r w:rsidRPr="00AE61AA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304589">
              <w:t xml:space="preserve"> </w:t>
            </w:r>
            <w:r w:rsidR="000B24C4">
              <w:t>None</w:t>
            </w:r>
          </w:p>
          <w:p w14:paraId="647E14AD" w14:textId="4FCB9020" w:rsidR="00DA6C80" w:rsidRDefault="00DA6C80" w:rsidP="006613B6"/>
        </w:tc>
        <w:tc>
          <w:tcPr>
            <w:tcW w:w="2601" w:type="dxa"/>
          </w:tcPr>
          <w:p w14:paraId="74538946" w14:textId="45A4F7E2" w:rsidR="0084698D" w:rsidRDefault="00E019E7" w:rsidP="008469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Math Gen ED</w:t>
            </w:r>
            <w:r w:rsidR="0084698D">
              <w:rPr>
                <w:b/>
                <w:bCs/>
              </w:rPr>
              <w:t xml:space="preserve"> (3 credits) </w:t>
            </w:r>
            <w:r>
              <w:rPr>
                <w:b/>
                <w:bCs/>
              </w:rPr>
              <w:t>*STA 2023 required for RN to BSN Program*</w:t>
            </w:r>
          </w:p>
          <w:p w14:paraId="781B02A8" w14:textId="77777777" w:rsidR="006613B6" w:rsidRDefault="006613B6" w:rsidP="006613B6">
            <w:pPr>
              <w:rPr>
                <w:u w:val="single"/>
              </w:rPr>
            </w:pPr>
          </w:p>
          <w:p w14:paraId="3F41E31D" w14:textId="7BCB4EC7" w:rsidR="006613B6" w:rsidRDefault="006613B6" w:rsidP="006613B6">
            <w:r w:rsidRPr="008C1752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9A30B2" w:rsidRPr="009052A1">
              <w:rPr>
                <w:rStyle w:val="Emphasis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Testing, or </w:t>
            </w:r>
            <w:hyperlink r:id="rId11" w:anchor="tt6809" w:tgtFrame="_blank" w:history="1">
              <w:r w:rsidR="009A30B2" w:rsidRPr="009052A1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MAT 1100</w:t>
              </w:r>
            </w:hyperlink>
            <w:r w:rsidR="009A30B2" w:rsidRPr="009052A1">
              <w:rPr>
                <w:rStyle w:val="Strong"/>
                <w:rFonts w:ascii="Century Gothic" w:hAnsi="Century Gothic"/>
                <w:color w:val="666666"/>
                <w:sz w:val="21"/>
                <w:szCs w:val="21"/>
                <w:bdr w:val="none" w:sz="0" w:space="0" w:color="auto" w:frame="1"/>
              </w:rPr>
              <w:t>(with a “C” or better), or </w:t>
            </w:r>
            <w:hyperlink r:id="rId12" w:anchor="tt4563" w:tgtFrame="_blank" w:history="1">
              <w:r w:rsidR="009A30B2" w:rsidRPr="009052A1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MAT 1033</w:t>
              </w:r>
            </w:hyperlink>
            <w:r w:rsidR="009A30B2" w:rsidRPr="009052A1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9A30B2" w:rsidRPr="009052A1">
              <w:rPr>
                <w:rStyle w:val="Emphasis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 xml:space="preserve">or </w:t>
            </w:r>
            <w:r w:rsidR="009A30B2" w:rsidRPr="009052A1">
              <w:rPr>
                <w:rStyle w:val="Emphasis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lastRenderedPageBreak/>
              <w:t>higher (with a “C” or better)</w:t>
            </w:r>
          </w:p>
          <w:p w14:paraId="72E86018" w14:textId="64C1137F" w:rsidR="006613B6" w:rsidRDefault="006613B6" w:rsidP="006613B6">
            <w:r w:rsidRPr="008C1752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85058C">
              <w:t xml:space="preserve"> None</w:t>
            </w:r>
          </w:p>
        </w:tc>
        <w:tc>
          <w:tcPr>
            <w:tcW w:w="2551" w:type="dxa"/>
          </w:tcPr>
          <w:p w14:paraId="0A6BA20C" w14:textId="41963B06" w:rsidR="00392AD8" w:rsidRDefault="00392AD8" w:rsidP="00392AD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NUR 294</w:t>
            </w:r>
            <w:r w:rsidR="008232DA">
              <w:rPr>
                <w:b/>
                <w:bCs/>
              </w:rPr>
              <w:t>2</w:t>
            </w:r>
            <w:r>
              <w:rPr>
                <w:b/>
                <w:bCs/>
              </w:rPr>
              <w:t>L Preceptorship (2 credits)</w:t>
            </w:r>
          </w:p>
          <w:p w14:paraId="7CA9C083" w14:textId="77777777" w:rsidR="006613B6" w:rsidRDefault="006613B6" w:rsidP="006613B6">
            <w:pPr>
              <w:rPr>
                <w:u w:val="single"/>
              </w:rPr>
            </w:pPr>
          </w:p>
          <w:p w14:paraId="174B628B" w14:textId="4D0EE8BE" w:rsidR="006613B6" w:rsidRDefault="006613B6" w:rsidP="006613B6">
            <w:r w:rsidRPr="00D13AED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54062A">
              <w:t>NUR 2211C and NUR 2420C both with a C or better</w:t>
            </w:r>
          </w:p>
          <w:p w14:paraId="3EDD07A9" w14:textId="67B8CED3" w:rsidR="006613B6" w:rsidRDefault="006613B6" w:rsidP="006613B6">
            <w:pPr>
              <w:rPr>
                <w:u w:val="single"/>
              </w:rPr>
            </w:pPr>
            <w:r w:rsidRPr="00D13AED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A67ABB">
              <w:t xml:space="preserve"> </w:t>
            </w:r>
            <w:r w:rsidR="00C7629E">
              <w:t>None</w:t>
            </w:r>
          </w:p>
        </w:tc>
      </w:tr>
      <w:tr w:rsidR="006613B6" w14:paraId="2EC3D90A" w14:textId="407BC007" w:rsidTr="006613B6">
        <w:tc>
          <w:tcPr>
            <w:tcW w:w="2511" w:type="dxa"/>
          </w:tcPr>
          <w:p w14:paraId="3CA17FDA" w14:textId="77777777" w:rsidR="00465F86" w:rsidRDefault="00465F86" w:rsidP="00465F86">
            <w:pPr>
              <w:spacing w:after="120"/>
              <w:rPr>
                <w:u w:val="single"/>
              </w:rPr>
            </w:pPr>
            <w:bookmarkStart w:id="1" w:name="_Hlk50383920"/>
            <w:r w:rsidRPr="0069318F">
              <w:rPr>
                <w:b/>
                <w:bCs/>
              </w:rPr>
              <w:t>BSC 10</w:t>
            </w:r>
            <w:r>
              <w:rPr>
                <w:b/>
                <w:bCs/>
              </w:rPr>
              <w:t>85</w:t>
            </w:r>
            <w:r w:rsidRPr="0069318F">
              <w:rPr>
                <w:b/>
                <w:bCs/>
              </w:rPr>
              <w:t>C Anatomy &amp; Physiology I (4 credits)</w:t>
            </w:r>
          </w:p>
          <w:p w14:paraId="1AB291DC" w14:textId="77777777" w:rsidR="00465F86" w:rsidRDefault="00465F86" w:rsidP="00465F86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SB1720 Testing Exemption or successful completion of all Developmental courses.</w:t>
            </w:r>
          </w:p>
          <w:p w14:paraId="3C75B14E" w14:textId="77777777" w:rsidR="00465F86" w:rsidRDefault="00465F86" w:rsidP="00465F86">
            <w:pPr>
              <w:spacing w:after="120"/>
              <w:rPr>
                <w:b/>
                <w:bCs/>
              </w:rPr>
            </w:pPr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  <w:p w14:paraId="0525C8B9" w14:textId="3443E84F" w:rsidR="006613B6" w:rsidRDefault="006613B6" w:rsidP="005553EE"/>
        </w:tc>
        <w:tc>
          <w:tcPr>
            <w:tcW w:w="2686" w:type="dxa"/>
          </w:tcPr>
          <w:p w14:paraId="61CBEAC1" w14:textId="1FC3B8B8" w:rsidR="005553EE" w:rsidRDefault="005553EE" w:rsidP="005553EE">
            <w:pPr>
              <w:rPr>
                <w:u w:val="single"/>
              </w:rPr>
            </w:pPr>
            <w:r w:rsidRPr="006F279A">
              <w:rPr>
                <w:b/>
              </w:rPr>
              <w:t>BSC 10</w:t>
            </w:r>
            <w:r>
              <w:rPr>
                <w:b/>
              </w:rPr>
              <w:t>86</w:t>
            </w:r>
            <w:r w:rsidRPr="006F279A">
              <w:rPr>
                <w:b/>
              </w:rPr>
              <w:t>C</w:t>
            </w:r>
            <w:r>
              <w:rPr>
                <w:b/>
              </w:rPr>
              <w:t xml:space="preserve"> Anatomy &amp; Physiology II (4 credits)</w:t>
            </w:r>
          </w:p>
          <w:p w14:paraId="66F9C8ED" w14:textId="77777777" w:rsidR="005553EE" w:rsidRPr="00C739FD" w:rsidRDefault="005553EE" w:rsidP="005553EE">
            <w:r w:rsidRPr="00AE61AA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  <w:shd w:val="clear" w:color="auto" w:fill="CCCCCC"/>
              </w:rPr>
              <w:t xml:space="preserve"> </w:t>
            </w:r>
            <w:r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Prerequisites:</w:t>
            </w:r>
            <w:r w:rsidRPr="00877EC3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Minimum grade of a “C” in </w:t>
            </w:r>
            <w:hyperlink r:id="rId13" w:anchor="tt513" w:tgtFrame="_blank" w:history="1">
              <w:r w:rsidRPr="00D94199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1085C</w:t>
              </w:r>
            </w:hyperlink>
            <w:r w:rsidRPr="00D94199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or </w:t>
            </w:r>
            <w:hyperlink r:id="rId14" w:anchor="tt8320" w:tgtFrame="_blank" w:history="1">
              <w:r w:rsidRPr="00D94199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1093C</w:t>
              </w:r>
            </w:hyperlink>
            <w:r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  <w:shd w:val="clear" w:color="auto" w:fill="CCCCCC"/>
              </w:rPr>
              <w:t> </w:t>
            </w:r>
          </w:p>
          <w:p w14:paraId="1B5FBB5F" w14:textId="25311008" w:rsidR="006613B6" w:rsidRDefault="005553EE" w:rsidP="005553EE">
            <w:r w:rsidRPr="00AE61AA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</w:tc>
        <w:tc>
          <w:tcPr>
            <w:tcW w:w="2601" w:type="dxa"/>
          </w:tcPr>
          <w:p w14:paraId="257F86FB" w14:textId="77777777" w:rsidR="00DA6C80" w:rsidRPr="003F3152" w:rsidRDefault="00DA6C80" w:rsidP="00DA6C8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PSY 2012: Intro to Psych or SYG 1000: Principles of Sociology (3 credits)</w:t>
            </w:r>
          </w:p>
          <w:p w14:paraId="6EA509A0" w14:textId="4C6F270D" w:rsidR="00D94199" w:rsidRDefault="00DA6C80" w:rsidP="00DA6C80">
            <w:r w:rsidRPr="00443086">
              <w:rPr>
                <w:b/>
                <w:bCs/>
                <w:color w:val="FF0000"/>
                <w:u w:val="single"/>
              </w:rPr>
              <w:t>Pre-req</w:t>
            </w:r>
            <w:r>
              <w:t>: None</w:t>
            </w:r>
          </w:p>
          <w:p w14:paraId="42A3E6DB" w14:textId="08E4E255" w:rsidR="006613B6" w:rsidRDefault="00DA6C80" w:rsidP="00DA6C80">
            <w:r w:rsidRPr="00443086">
              <w:rPr>
                <w:b/>
                <w:bCs/>
                <w:color w:val="FF0000"/>
                <w:u w:val="single"/>
              </w:rPr>
              <w:t>Co-req</w:t>
            </w:r>
            <w:r>
              <w:t>: None</w:t>
            </w:r>
          </w:p>
        </w:tc>
        <w:tc>
          <w:tcPr>
            <w:tcW w:w="2601" w:type="dxa"/>
          </w:tcPr>
          <w:p w14:paraId="02093727" w14:textId="4FDA1E51" w:rsidR="00776140" w:rsidRPr="00743132" w:rsidRDefault="00776140" w:rsidP="00776140">
            <w:pPr>
              <w:spacing w:after="120"/>
              <w:rPr>
                <w:b/>
              </w:rPr>
            </w:pPr>
            <w:r w:rsidRPr="00F6504D">
              <w:rPr>
                <w:b/>
              </w:rPr>
              <w:t xml:space="preserve">MCB </w:t>
            </w:r>
            <w:r w:rsidR="00877EC3" w:rsidRPr="00F6504D">
              <w:rPr>
                <w:b/>
              </w:rPr>
              <w:t>2010</w:t>
            </w:r>
            <w:r w:rsidRPr="00F6504D">
              <w:rPr>
                <w:b/>
              </w:rPr>
              <w:t>C Microbiology (4 credits)</w:t>
            </w:r>
          </w:p>
          <w:p w14:paraId="021CF564" w14:textId="4AA629C4" w:rsidR="006613B6" w:rsidRDefault="006613B6" w:rsidP="006613B6">
            <w:r w:rsidRPr="00877EC3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877EC3"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Minimum grade of “C” in (</w:t>
            </w:r>
            <w:hyperlink r:id="rId15" w:anchor="tt9349" w:tgtFrame="_blank" w:history="1">
              <w:r w:rsidR="00877EC3" w:rsidRPr="00877EC3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1010</w:t>
              </w:r>
            </w:hyperlink>
            <w:r w:rsidR="00877EC3" w:rsidRPr="00877EC3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877EC3"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and</w:t>
            </w:r>
            <w:r w:rsidR="00877EC3" w:rsidRPr="00877EC3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16" w:anchor="tt4063" w:tgtFrame="_blank" w:history="1">
              <w:r w:rsidR="00877EC3" w:rsidRPr="00877EC3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1010L</w:t>
              </w:r>
            </w:hyperlink>
            <w:r w:rsidR="00877EC3"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) or minimum grade of “C” in </w:t>
            </w:r>
            <w:hyperlink r:id="rId17" w:anchor="tt7126" w:tgtFrame="_blank" w:history="1">
              <w:r w:rsidR="00877EC3" w:rsidRPr="00877EC3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1085C</w:t>
              </w:r>
            </w:hyperlink>
            <w:r w:rsidR="00877EC3" w:rsidRP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 or </w:t>
            </w:r>
            <w:hyperlink r:id="rId18" w:anchor="tt870" w:tgtFrame="_blank" w:history="1">
              <w:r w:rsidR="00877EC3" w:rsidRPr="00877EC3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BSC 1093C</w:t>
              </w:r>
            </w:hyperlink>
            <w:r w:rsidR="00877EC3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  <w:shd w:val="clear" w:color="auto" w:fill="CCCCCC"/>
              </w:rPr>
              <w:t> </w:t>
            </w:r>
          </w:p>
          <w:p w14:paraId="24DC3401" w14:textId="7A27E2F1" w:rsidR="006613B6" w:rsidRDefault="006613B6" w:rsidP="006613B6">
            <w:r w:rsidRPr="00877EC3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EB3A05">
              <w:t xml:space="preserve"> None</w:t>
            </w:r>
          </w:p>
        </w:tc>
        <w:tc>
          <w:tcPr>
            <w:tcW w:w="2551" w:type="dxa"/>
          </w:tcPr>
          <w:p w14:paraId="5C9F487B" w14:textId="4C784D53" w:rsidR="006613B6" w:rsidRPr="00392AD8" w:rsidRDefault="00392AD8" w:rsidP="00661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humanity (3 credits) </w:t>
            </w:r>
            <w:r w:rsidR="00E019E7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Writing intensive </w:t>
            </w:r>
            <w:r w:rsidR="00E019E7">
              <w:rPr>
                <w:b/>
                <w:bCs/>
              </w:rPr>
              <w:t>required for RN to BSN program*</w:t>
            </w:r>
          </w:p>
          <w:p w14:paraId="65AC8C52" w14:textId="670189C2" w:rsidR="006613B6" w:rsidRDefault="006613B6" w:rsidP="006613B6">
            <w:r w:rsidRPr="007A5C3B">
              <w:rPr>
                <w:b/>
                <w:bCs/>
                <w:color w:val="FF0000"/>
                <w:u w:val="single"/>
              </w:rPr>
              <w:t>Pre-req</w:t>
            </w:r>
            <w:r>
              <w:t xml:space="preserve">: </w:t>
            </w:r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Prerequisites:</w:t>
            </w:r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SB 1720 Testing Exemption or Testing into</w:t>
            </w:r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19" w:anchor="tt398" w:tgtFrame="_blank" w:history="1">
              <w:r w:rsidR="00DA60C0" w:rsidRPr="004E119C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ENC 1101</w:t>
              </w:r>
            </w:hyperlink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; or completion of {(ENC 0025 and REA 0017) or (</w:t>
            </w:r>
            <w:hyperlink r:id="rId20" w:anchor="tt4606" w:tgtFrame="_blank" w:history="1">
              <w:r w:rsidR="00DA60C0" w:rsidRPr="004E119C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ENC 0022</w:t>
              </w:r>
            </w:hyperlink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and</w:t>
            </w:r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21" w:anchor="tt2652" w:tgtFrame="_blank" w:history="1">
              <w:r w:rsidR="00DA60C0" w:rsidRPr="004E119C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REA 0019</w:t>
              </w:r>
            </w:hyperlink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)} with a “C” or better; or</w:t>
            </w:r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22" w:anchor="tt3870" w:tgtFrame="_blank" w:history="1">
              <w:r w:rsidR="00DA60C0" w:rsidRPr="004E119C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EAP 1620</w:t>
              </w:r>
            </w:hyperlink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DA60C0" w:rsidRPr="004E119C">
              <w:rPr>
                <w:rStyle w:val="Emphasis"/>
                <w:rFonts w:ascii="inherit" w:hAnsi="inherit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and</w:t>
            </w:r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hyperlink r:id="rId23" w:anchor="tt3047" w:tgtFrame="_blank" w:history="1">
              <w:r w:rsidR="00DA60C0" w:rsidRPr="004E119C">
                <w:rPr>
                  <w:rStyle w:val="Hyperlink"/>
                  <w:rFonts w:ascii="Century Gothic" w:hAnsi="Century Gothic"/>
                  <w:b/>
                  <w:bCs/>
                  <w:i/>
                  <w:iCs/>
                  <w:color w:val="41A5A3"/>
                  <w:sz w:val="21"/>
                  <w:szCs w:val="21"/>
                  <w:bdr w:val="none" w:sz="0" w:space="0" w:color="auto" w:frame="1"/>
                </w:rPr>
                <w:t>EAP 1640</w:t>
              </w:r>
            </w:hyperlink>
            <w:r w:rsidR="00DA60C0" w:rsidRPr="004E119C">
              <w:rPr>
                <w:rFonts w:ascii="Century Gothic" w:hAnsi="Century Gothic"/>
                <w:color w:val="666666"/>
                <w:sz w:val="21"/>
                <w:szCs w:val="21"/>
              </w:rPr>
              <w:t> </w:t>
            </w:r>
            <w:r w:rsidR="00DA60C0" w:rsidRPr="004E119C">
              <w:rPr>
                <w:rStyle w:val="Strong"/>
                <w:rFonts w:ascii="inherit" w:hAnsi="inherit"/>
                <w:i/>
                <w:iCs/>
                <w:color w:val="666666"/>
                <w:sz w:val="21"/>
                <w:szCs w:val="21"/>
                <w:bdr w:val="none" w:sz="0" w:space="0" w:color="auto" w:frame="1"/>
              </w:rPr>
              <w:t>with a “C” or better; or an eligible testing/course completion combination</w:t>
            </w:r>
          </w:p>
          <w:p w14:paraId="343326FE" w14:textId="77777777" w:rsidR="006613B6" w:rsidRDefault="006613B6" w:rsidP="006613B6">
            <w:r w:rsidRPr="007A5C3B">
              <w:rPr>
                <w:b/>
                <w:bCs/>
                <w:color w:val="FF0000"/>
                <w:u w:val="single"/>
              </w:rPr>
              <w:t>Co-req</w:t>
            </w:r>
            <w:r>
              <w:t>:</w:t>
            </w:r>
            <w:r w:rsidR="00B3528C">
              <w:t xml:space="preserve"> None</w:t>
            </w:r>
          </w:p>
          <w:p w14:paraId="66829A04" w14:textId="6DDC36E7" w:rsidR="00DA6C80" w:rsidRDefault="00DA6C80" w:rsidP="006613B6">
            <w:pPr>
              <w:rPr>
                <w:u w:val="single"/>
              </w:rPr>
            </w:pPr>
          </w:p>
        </w:tc>
      </w:tr>
      <w:bookmarkEnd w:id="1"/>
    </w:tbl>
    <w:p w14:paraId="2A6A23D5" w14:textId="77777777" w:rsidR="00D73219" w:rsidRDefault="00D73219" w:rsidP="00A9670C"/>
    <w:sectPr w:rsidR="00D73219" w:rsidSect="00DA308D">
      <w:headerReference w:type="default" r:id="rId2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BA4F" w14:textId="77777777" w:rsidR="00DA308D" w:rsidRDefault="00DA308D" w:rsidP="00DA308D">
      <w:pPr>
        <w:spacing w:after="0" w:line="240" w:lineRule="auto"/>
      </w:pPr>
      <w:r>
        <w:separator/>
      </w:r>
    </w:p>
  </w:endnote>
  <w:endnote w:type="continuationSeparator" w:id="0">
    <w:p w14:paraId="13CB6941" w14:textId="77777777" w:rsidR="00DA308D" w:rsidRDefault="00DA308D" w:rsidP="00DA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D7BFE" w14:textId="77777777" w:rsidR="00DA308D" w:rsidRDefault="00DA308D" w:rsidP="00DA308D">
      <w:pPr>
        <w:spacing w:after="0" w:line="240" w:lineRule="auto"/>
      </w:pPr>
      <w:r>
        <w:separator/>
      </w:r>
    </w:p>
  </w:footnote>
  <w:footnote w:type="continuationSeparator" w:id="0">
    <w:p w14:paraId="43F52F2C" w14:textId="77777777" w:rsidR="00DA308D" w:rsidRDefault="00DA308D" w:rsidP="00DA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A5AC9" w14:textId="368A85BE" w:rsidR="00DA308D" w:rsidRDefault="00DA308D" w:rsidP="00DA308D">
    <w:pPr>
      <w:pStyle w:val="Header"/>
      <w:jc w:val="center"/>
    </w:pPr>
    <w:r>
      <w:t>FSW ASN Program</w:t>
    </w:r>
    <w:r w:rsidR="00157786">
      <w:t xml:space="preserve"> – New Population Based Curriculum</w:t>
    </w:r>
  </w:p>
  <w:p w14:paraId="62BAAEE2" w14:textId="222A43FB" w:rsidR="00CB1B16" w:rsidRDefault="00A7386B" w:rsidP="00A7386B">
    <w:pPr>
      <w:pStyle w:val="Footer"/>
    </w:pPr>
    <w:r>
      <w:t>Rev 1</w:t>
    </w:r>
    <w:r w:rsidR="004F445C">
      <w:t>2/</w:t>
    </w:r>
    <w:r w:rsidR="00F96C11">
      <w:t>15</w:t>
    </w:r>
    <w:r>
      <w:t xml:space="preserve">/20                                                              </w:t>
    </w:r>
    <w:r w:rsidR="00DA308D">
      <w:t>Pre-</w:t>
    </w:r>
    <w:proofErr w:type="spellStart"/>
    <w:r w:rsidR="00DA308D">
      <w:t>reqs</w:t>
    </w:r>
    <w:proofErr w:type="spellEnd"/>
    <w:r w:rsidR="00DA308D">
      <w:t xml:space="preserve"> and Co-</w:t>
    </w:r>
    <w:proofErr w:type="spellStart"/>
    <w:r w:rsidR="00DA308D">
      <w:t>reqs</w:t>
    </w:r>
    <w:proofErr w:type="spellEnd"/>
    <w:r w:rsidR="00A9670C">
      <w:t xml:space="preserve"> </w:t>
    </w:r>
    <w:r w:rsidR="00157786">
      <w:t>–</w:t>
    </w:r>
    <w:r w:rsidR="00A9670C">
      <w:t xml:space="preserve"> </w:t>
    </w:r>
    <w:r w:rsidR="00157786">
      <w:t>Rollout b</w:t>
    </w:r>
    <w:r w:rsidR="001D695C">
      <w:t>eginning Fall 202</w:t>
    </w:r>
    <w:r w:rsidR="00157786">
      <w:t>1</w:t>
    </w:r>
  </w:p>
  <w:p w14:paraId="17B3DE60" w14:textId="77777777" w:rsidR="00A7386B" w:rsidRDefault="00A7386B" w:rsidP="00A7386B">
    <w:pPr>
      <w:pStyle w:val="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8D"/>
    <w:rsid w:val="00002E86"/>
    <w:rsid w:val="000076C7"/>
    <w:rsid w:val="00031838"/>
    <w:rsid w:val="0008187B"/>
    <w:rsid w:val="00082886"/>
    <w:rsid w:val="00092082"/>
    <w:rsid w:val="000B24C4"/>
    <w:rsid w:val="000C580F"/>
    <w:rsid w:val="001131CB"/>
    <w:rsid w:val="00113AF7"/>
    <w:rsid w:val="0012418D"/>
    <w:rsid w:val="00143E37"/>
    <w:rsid w:val="00157786"/>
    <w:rsid w:val="00165406"/>
    <w:rsid w:val="00171CB7"/>
    <w:rsid w:val="001805FD"/>
    <w:rsid w:val="001B24BC"/>
    <w:rsid w:val="001C0152"/>
    <w:rsid w:val="001D695C"/>
    <w:rsid w:val="00202771"/>
    <w:rsid w:val="0024627F"/>
    <w:rsid w:val="002767AB"/>
    <w:rsid w:val="00284AAA"/>
    <w:rsid w:val="002902C3"/>
    <w:rsid w:val="0029527D"/>
    <w:rsid w:val="002A31B6"/>
    <w:rsid w:val="002A6F42"/>
    <w:rsid w:val="00300557"/>
    <w:rsid w:val="00304589"/>
    <w:rsid w:val="0032763D"/>
    <w:rsid w:val="00335EC4"/>
    <w:rsid w:val="003410F7"/>
    <w:rsid w:val="003851C1"/>
    <w:rsid w:val="00391F43"/>
    <w:rsid w:val="0039269B"/>
    <w:rsid w:val="00392AD8"/>
    <w:rsid w:val="003A271E"/>
    <w:rsid w:val="003A2A4F"/>
    <w:rsid w:val="003D046B"/>
    <w:rsid w:val="003D5D22"/>
    <w:rsid w:val="003F3152"/>
    <w:rsid w:val="003F4C57"/>
    <w:rsid w:val="00443086"/>
    <w:rsid w:val="004473F1"/>
    <w:rsid w:val="00465F86"/>
    <w:rsid w:val="0046743E"/>
    <w:rsid w:val="00471263"/>
    <w:rsid w:val="004A0593"/>
    <w:rsid w:val="004A35F2"/>
    <w:rsid w:val="004B29B7"/>
    <w:rsid w:val="004C3AE1"/>
    <w:rsid w:val="004C4375"/>
    <w:rsid w:val="004C67A5"/>
    <w:rsid w:val="004D0274"/>
    <w:rsid w:val="004D09AF"/>
    <w:rsid w:val="004E119C"/>
    <w:rsid w:val="004E12B0"/>
    <w:rsid w:val="004E77FF"/>
    <w:rsid w:val="004F445C"/>
    <w:rsid w:val="0053485E"/>
    <w:rsid w:val="0054062A"/>
    <w:rsid w:val="005553EE"/>
    <w:rsid w:val="00557894"/>
    <w:rsid w:val="00565D55"/>
    <w:rsid w:val="0057643C"/>
    <w:rsid w:val="0059003F"/>
    <w:rsid w:val="00595625"/>
    <w:rsid w:val="005B5748"/>
    <w:rsid w:val="005F02C5"/>
    <w:rsid w:val="00626470"/>
    <w:rsid w:val="00631547"/>
    <w:rsid w:val="00642997"/>
    <w:rsid w:val="00651E24"/>
    <w:rsid w:val="006613B6"/>
    <w:rsid w:val="00661453"/>
    <w:rsid w:val="00677AB7"/>
    <w:rsid w:val="006825C0"/>
    <w:rsid w:val="0069318F"/>
    <w:rsid w:val="006943EB"/>
    <w:rsid w:val="006A43BC"/>
    <w:rsid w:val="006A7807"/>
    <w:rsid w:val="006B450A"/>
    <w:rsid w:val="006F12A2"/>
    <w:rsid w:val="006F279A"/>
    <w:rsid w:val="00735F9C"/>
    <w:rsid w:val="00737882"/>
    <w:rsid w:val="00743132"/>
    <w:rsid w:val="00751AA1"/>
    <w:rsid w:val="00753202"/>
    <w:rsid w:val="007706CE"/>
    <w:rsid w:val="00776140"/>
    <w:rsid w:val="007A5291"/>
    <w:rsid w:val="007A5C3B"/>
    <w:rsid w:val="007F4E13"/>
    <w:rsid w:val="007F783B"/>
    <w:rsid w:val="008232DA"/>
    <w:rsid w:val="0084698D"/>
    <w:rsid w:val="0085058C"/>
    <w:rsid w:val="0085555F"/>
    <w:rsid w:val="00866F9B"/>
    <w:rsid w:val="00877EC3"/>
    <w:rsid w:val="008855FF"/>
    <w:rsid w:val="008870A2"/>
    <w:rsid w:val="00893141"/>
    <w:rsid w:val="008A56B7"/>
    <w:rsid w:val="008B1D77"/>
    <w:rsid w:val="008C1752"/>
    <w:rsid w:val="008C63F2"/>
    <w:rsid w:val="009052A1"/>
    <w:rsid w:val="00942F6D"/>
    <w:rsid w:val="00953DAF"/>
    <w:rsid w:val="00974002"/>
    <w:rsid w:val="00974E99"/>
    <w:rsid w:val="00980AA9"/>
    <w:rsid w:val="00986055"/>
    <w:rsid w:val="00991C1A"/>
    <w:rsid w:val="009A30B2"/>
    <w:rsid w:val="009B7719"/>
    <w:rsid w:val="009C28D7"/>
    <w:rsid w:val="009F20FD"/>
    <w:rsid w:val="00A45C27"/>
    <w:rsid w:val="00A54A33"/>
    <w:rsid w:val="00A67ABB"/>
    <w:rsid w:val="00A7386B"/>
    <w:rsid w:val="00A9670C"/>
    <w:rsid w:val="00AA1B70"/>
    <w:rsid w:val="00AD2AB7"/>
    <w:rsid w:val="00AE12F1"/>
    <w:rsid w:val="00AE61AA"/>
    <w:rsid w:val="00B24E4B"/>
    <w:rsid w:val="00B2524F"/>
    <w:rsid w:val="00B3528C"/>
    <w:rsid w:val="00B4295A"/>
    <w:rsid w:val="00B50EC5"/>
    <w:rsid w:val="00B53EAD"/>
    <w:rsid w:val="00B56BD4"/>
    <w:rsid w:val="00B6775E"/>
    <w:rsid w:val="00B72150"/>
    <w:rsid w:val="00B9106E"/>
    <w:rsid w:val="00BA5368"/>
    <w:rsid w:val="00BC76C8"/>
    <w:rsid w:val="00BD7D27"/>
    <w:rsid w:val="00BF027D"/>
    <w:rsid w:val="00BF5DDC"/>
    <w:rsid w:val="00C24D75"/>
    <w:rsid w:val="00C37038"/>
    <w:rsid w:val="00C427FD"/>
    <w:rsid w:val="00C739FD"/>
    <w:rsid w:val="00C7629E"/>
    <w:rsid w:val="00C76949"/>
    <w:rsid w:val="00C80839"/>
    <w:rsid w:val="00CB1B16"/>
    <w:rsid w:val="00CB52E6"/>
    <w:rsid w:val="00CC0832"/>
    <w:rsid w:val="00CC75E4"/>
    <w:rsid w:val="00CF5475"/>
    <w:rsid w:val="00D13AED"/>
    <w:rsid w:val="00D31F1E"/>
    <w:rsid w:val="00D32902"/>
    <w:rsid w:val="00D3601B"/>
    <w:rsid w:val="00D410FC"/>
    <w:rsid w:val="00D51BE1"/>
    <w:rsid w:val="00D51E60"/>
    <w:rsid w:val="00D67D27"/>
    <w:rsid w:val="00D73219"/>
    <w:rsid w:val="00D7733D"/>
    <w:rsid w:val="00D81CDD"/>
    <w:rsid w:val="00D94199"/>
    <w:rsid w:val="00DA0FBB"/>
    <w:rsid w:val="00DA308D"/>
    <w:rsid w:val="00DA60C0"/>
    <w:rsid w:val="00DA6C80"/>
    <w:rsid w:val="00DE07E1"/>
    <w:rsid w:val="00DF6256"/>
    <w:rsid w:val="00DF769F"/>
    <w:rsid w:val="00E019E7"/>
    <w:rsid w:val="00E06803"/>
    <w:rsid w:val="00E141AD"/>
    <w:rsid w:val="00E221C1"/>
    <w:rsid w:val="00E25B4C"/>
    <w:rsid w:val="00E536A0"/>
    <w:rsid w:val="00E80CD7"/>
    <w:rsid w:val="00E951C6"/>
    <w:rsid w:val="00EA40ED"/>
    <w:rsid w:val="00EA5F47"/>
    <w:rsid w:val="00EB3A05"/>
    <w:rsid w:val="00EC1036"/>
    <w:rsid w:val="00F02CB9"/>
    <w:rsid w:val="00F107C2"/>
    <w:rsid w:val="00F379E6"/>
    <w:rsid w:val="00F6504D"/>
    <w:rsid w:val="00F7225A"/>
    <w:rsid w:val="00F84C75"/>
    <w:rsid w:val="00F91A48"/>
    <w:rsid w:val="00F96C11"/>
    <w:rsid w:val="00FB480C"/>
    <w:rsid w:val="00FC4448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42D5246"/>
  <w15:chartTrackingRefBased/>
  <w15:docId w15:val="{1E390F37-C68E-4462-B6A9-34A40067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08D"/>
  </w:style>
  <w:style w:type="paragraph" w:styleId="Footer">
    <w:name w:val="footer"/>
    <w:basedOn w:val="Normal"/>
    <w:link w:val="FooterChar"/>
    <w:uiPriority w:val="99"/>
    <w:unhideWhenUsed/>
    <w:rsid w:val="00DA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08D"/>
  </w:style>
  <w:style w:type="paragraph" w:styleId="BalloonText">
    <w:name w:val="Balloon Text"/>
    <w:basedOn w:val="Normal"/>
    <w:link w:val="BalloonTextChar"/>
    <w:uiPriority w:val="99"/>
    <w:semiHidden/>
    <w:unhideWhenUsed/>
    <w:rsid w:val="001D6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5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A60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A60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6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fsw.edu/preview_course_nopop.php?catoid=14&amp;coid=15211" TargetMode="External"/><Relationship Id="rId13" Type="http://schemas.openxmlformats.org/officeDocument/2006/relationships/hyperlink" Target="http://catalog.fsw.edu/preview_program.php?catoid=14&amp;poid=1388&amp;returnto=1177" TargetMode="External"/><Relationship Id="rId18" Type="http://schemas.openxmlformats.org/officeDocument/2006/relationships/hyperlink" Target="http://catalog.fsw.edu/preview_program.php?catoid=14&amp;poid=1388&amp;returnto=117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catalog.fsw.edu/preview_program.php?catoid=14&amp;poid=1327&amp;returnto=1177" TargetMode="External"/><Relationship Id="rId7" Type="http://schemas.openxmlformats.org/officeDocument/2006/relationships/hyperlink" Target="http://catalog.fsw.edu/preview_course_nopop.php?catoid=14&amp;coid=15081" TargetMode="External"/><Relationship Id="rId12" Type="http://schemas.openxmlformats.org/officeDocument/2006/relationships/hyperlink" Target="http://catalog.fsw.edu/preview_program.php?catoid=14&amp;poid=1327&amp;returnto=1177" TargetMode="External"/><Relationship Id="rId17" Type="http://schemas.openxmlformats.org/officeDocument/2006/relationships/hyperlink" Target="http://catalog.fsw.edu/preview_program.php?catoid=14&amp;poid=1388&amp;returnto=117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alog.fsw.edu/preview_program.php?catoid=14&amp;poid=1388&amp;returnto=1177" TargetMode="External"/><Relationship Id="rId20" Type="http://schemas.openxmlformats.org/officeDocument/2006/relationships/hyperlink" Target="http://catalog.fsw.edu/preview_program.php?catoid=14&amp;poid=1327&amp;returnto=1177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.fsw.edu/preview_course_nopop.php?catoid=14&amp;coid=14794" TargetMode="External"/><Relationship Id="rId11" Type="http://schemas.openxmlformats.org/officeDocument/2006/relationships/hyperlink" Target="http://catalog.fsw.edu/preview_program.php?catoid=14&amp;poid=1327&amp;returnto=1177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catalog.fsw.edu/preview_program.php?catoid=14&amp;poid=1388&amp;returnto=1177" TargetMode="External"/><Relationship Id="rId23" Type="http://schemas.openxmlformats.org/officeDocument/2006/relationships/hyperlink" Target="http://catalog.fsw.edu/preview_program.php?catoid=14&amp;poid=1327&amp;returnto=1177" TargetMode="External"/><Relationship Id="rId10" Type="http://schemas.openxmlformats.org/officeDocument/2006/relationships/hyperlink" Target="http://catalog.fsw.edu/preview_course_nopop.php?catoid=14&amp;coid=14638" TargetMode="External"/><Relationship Id="rId19" Type="http://schemas.openxmlformats.org/officeDocument/2006/relationships/hyperlink" Target="http://catalog.fsw.edu/preview_program.php?catoid=14&amp;poid=1327&amp;returnto=11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talog.fsw.edu/preview_course_nopop.php?catoid=14&amp;coid=14637" TargetMode="External"/><Relationship Id="rId14" Type="http://schemas.openxmlformats.org/officeDocument/2006/relationships/hyperlink" Target="http://catalog.fsw.edu/preview_program.php?catoid=14&amp;poid=1388&amp;returnto=1177" TargetMode="External"/><Relationship Id="rId22" Type="http://schemas.openxmlformats.org/officeDocument/2006/relationships/hyperlink" Target="http://catalog.fsw.edu/preview_program.php?catoid=14&amp;poid=1327&amp;returnto=1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L. Davis</dc:creator>
  <cp:keywords/>
  <dc:description/>
  <cp:lastModifiedBy>June L. Davis</cp:lastModifiedBy>
  <cp:revision>8</cp:revision>
  <cp:lastPrinted>2020-09-25T15:20:00Z</cp:lastPrinted>
  <dcterms:created xsi:type="dcterms:W3CDTF">2020-12-15T08:18:00Z</dcterms:created>
  <dcterms:modified xsi:type="dcterms:W3CDTF">2020-12-15T20:02:00Z</dcterms:modified>
</cp:coreProperties>
</file>