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26F26337" w:rsidR="00B24563" w:rsidRDefault="006A7D96" w:rsidP="00B24563">
                <w:pPr>
                  <w:spacing w:line="360" w:lineRule="auto"/>
                </w:pPr>
                <w:r>
                  <w:t>School of Health Professions</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33E2AE60" w:rsidR="000169B7" w:rsidRPr="00B227AF" w:rsidRDefault="007E2233" w:rsidP="00B24563">
            <w:pPr>
              <w:spacing w:line="360" w:lineRule="auto"/>
              <w:rPr>
                <w:color w:val="FF0000"/>
              </w:rPr>
            </w:pPr>
            <w:r>
              <w:rPr>
                <w:color w:val="FF0000"/>
              </w:rPr>
              <w:t xml:space="preserve">AS in Health Information Technology and College Credit Certificate in Medical Information Coding and Billing </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6F522B6F" w:rsidR="00B24563" w:rsidRPr="00B227AF" w:rsidRDefault="007E2233" w:rsidP="00B24563">
            <w:pPr>
              <w:spacing w:line="360" w:lineRule="auto"/>
              <w:rPr>
                <w:color w:val="FF0000"/>
              </w:rPr>
            </w:pPr>
            <w:r>
              <w:rPr>
                <w:color w:val="FF0000"/>
              </w:rPr>
              <w:t xml:space="preserve">Deborah Howard </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3BA8878A" w:rsidR="00B24563" w:rsidRPr="00B227AF" w:rsidRDefault="007E2233" w:rsidP="00B24563">
            <w:pPr>
              <w:spacing w:line="360" w:lineRule="auto"/>
              <w:rPr>
                <w:color w:val="FF0000"/>
              </w:rPr>
            </w:pPr>
            <w:r>
              <w:rPr>
                <w:color w:val="FF0000"/>
              </w:rPr>
              <w:t xml:space="preserve">Deborah Howard </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rPr>
              <w:color w:val="FF0000"/>
            </w:rPr>
            <w:id w:val="1078170469"/>
            <w:placeholder>
              <w:docPart w:val="DefaultPlaceholder_1082065160"/>
            </w:placeholder>
            <w:date w:fullDate="2020-09-25T00:00:00Z">
              <w:dateFormat w:val="M/d/yyyy"/>
              <w:lid w:val="en-US"/>
              <w:storeMappedDataAs w:val="dateTime"/>
              <w:calendar w:val="gregorian"/>
            </w:date>
          </w:sdtPr>
          <w:sdtEndPr/>
          <w:sdtContent>
            <w:tc>
              <w:tcPr>
                <w:tcW w:w="5732" w:type="dxa"/>
                <w:gridSpan w:val="4"/>
              </w:tcPr>
              <w:p w14:paraId="2EB008F5" w14:textId="1101F103" w:rsidR="00B24563" w:rsidRPr="00436CEF" w:rsidRDefault="007E2233" w:rsidP="00B24563">
                <w:pPr>
                  <w:spacing w:line="360" w:lineRule="auto"/>
                  <w:rPr>
                    <w:color w:val="FF0000"/>
                  </w:rPr>
                </w:pPr>
                <w:r w:rsidRPr="00436CEF">
                  <w:rPr>
                    <w:color w:val="FF0000"/>
                  </w:rPr>
                  <w:t>9/25/2020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28D636A9" w:rsidR="00B24563" w:rsidRDefault="007E2233" w:rsidP="00D06FF2">
            <w:pPr>
              <w:spacing w:line="360" w:lineRule="auto"/>
            </w:pPr>
            <w:r w:rsidRPr="00436CEF">
              <w:rPr>
                <w:color w:val="FF0000"/>
              </w:rPr>
              <w:t xml:space="preserve">HIM2722 ICD-10-CM Diagnosis Coding </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222694AE" w:rsidR="00AD7A41" w:rsidRDefault="007E2233"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77777777" w:rsidR="00AD7A41" w:rsidRDefault="00AD7A41" w:rsidP="004F5592">
            <w:pPr>
              <w:spacing w:line="360" w:lineRule="auto"/>
              <w:contextualSpacing/>
            </w:pPr>
            <w:r w:rsidRPr="00A1036B">
              <w:rPr>
                <w:color w:val="FF0000"/>
              </w:rPr>
              <w:t>Type name here</w:t>
            </w:r>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60618477" w:rsidR="00AD7A41" w:rsidRDefault="007E2233" w:rsidP="004F5592">
            <w:pPr>
              <w:spacing w:line="360" w:lineRule="auto"/>
              <w:contextualSpacing/>
            </w:pPr>
            <w:r>
              <w:t xml:space="preserve">Deborah Howard </w:t>
            </w:r>
          </w:p>
        </w:tc>
        <w:sdt>
          <w:sdtPr>
            <w:rPr>
              <w:sz w:val="20"/>
            </w:rPr>
            <w:id w:val="1861779100"/>
            <w:placeholder>
              <w:docPart w:val="8FE6AFB804844CB9A3B6F0DA7E72AE79"/>
            </w:placeholder>
            <w:date w:fullDate="2020-09-25T00:00:00Z">
              <w:dateFormat w:val="M/d/yyyy"/>
              <w:lid w:val="en-US"/>
              <w:storeMappedDataAs w:val="dateTime"/>
              <w:calendar w:val="gregorian"/>
            </w:date>
          </w:sdtPr>
          <w:sdtEndPr/>
          <w:sdtContent>
            <w:tc>
              <w:tcPr>
                <w:tcW w:w="1975" w:type="dxa"/>
                <w:tcBorders>
                  <w:bottom w:val="single" w:sz="4" w:space="0" w:color="auto"/>
                </w:tcBorders>
              </w:tcPr>
              <w:p w14:paraId="76B0E838" w14:textId="6BE8AAC9" w:rsidR="00AD7A41" w:rsidRPr="00A73BD8" w:rsidRDefault="007E2233" w:rsidP="004F5592">
                <w:pPr>
                  <w:spacing w:line="360" w:lineRule="auto"/>
                  <w:contextualSpacing/>
                  <w:rPr>
                    <w:sz w:val="20"/>
                  </w:rPr>
                </w:pPr>
                <w:r>
                  <w:rPr>
                    <w:sz w:val="20"/>
                  </w:rPr>
                  <w:t>9/25/2020</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574D7F39" w:rsidR="00AD7A41" w:rsidRDefault="007E2233" w:rsidP="004F5592">
            <w:pPr>
              <w:spacing w:line="360" w:lineRule="auto"/>
              <w:contextualSpacing/>
            </w:pPr>
            <w:r>
              <w:t xml:space="preserve">Dr. Paula Tropello </w:t>
            </w:r>
          </w:p>
        </w:tc>
        <w:sdt>
          <w:sdtPr>
            <w:rPr>
              <w:sz w:val="20"/>
            </w:rPr>
            <w:id w:val="-2117271105"/>
            <w:placeholder>
              <w:docPart w:val="0C14568B698A4F3B9B212407337B1C29"/>
            </w:placeholder>
            <w:showingPlcHdr/>
            <w:date>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77777777" w:rsidR="00AD7A41" w:rsidRPr="00A73BD8" w:rsidRDefault="00AD7A41" w:rsidP="004F5592">
                <w:pPr>
                  <w:spacing w:line="360" w:lineRule="auto"/>
                  <w:contextualSpacing/>
                  <w:rPr>
                    <w:sz w:val="20"/>
                  </w:rPr>
                </w:pPr>
                <w:r w:rsidRPr="00DE74AE">
                  <w:rPr>
                    <w:rStyle w:val="PlaceholderText"/>
                    <w:color w:val="FF0000"/>
                  </w:rPr>
                  <w:t>Click here to enter a date.</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726C3168" w:rsidR="00AD7A41" w:rsidRPr="00E75169" w:rsidRDefault="007E2233" w:rsidP="004F5592">
            <w:pPr>
              <w:spacing w:line="360" w:lineRule="auto"/>
              <w:contextualSpacing/>
              <w:rPr>
                <w:color w:val="FF0000"/>
              </w:rPr>
            </w:pPr>
            <w:r>
              <w:rPr>
                <w:color w:val="FF0000"/>
              </w:rPr>
              <w:t xml:space="preserve">Elizabeth Whitmer, Sharon Fitzgerald </w:t>
            </w: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3AEB9119" w:rsidR="00175745" w:rsidRPr="00E75169" w:rsidRDefault="007E2233" w:rsidP="00AC4122">
            <w:pPr>
              <w:spacing w:line="360" w:lineRule="auto"/>
              <w:rPr>
                <w:color w:val="FF0000"/>
              </w:rPr>
            </w:pPr>
            <w:r>
              <w:rPr>
                <w:color w:val="FF0000"/>
              </w:rPr>
              <w:t xml:space="preserve">No. Resources for this coding course are available online. Library collection not needed. </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3B2CC2B1" w14:textId="77777777" w:rsidR="0004692F" w:rsidRDefault="007E2233" w:rsidP="00EA1C9D">
            <w:pPr>
              <w:spacing w:line="360" w:lineRule="auto"/>
              <w:rPr>
                <w:color w:val="FF0000"/>
              </w:rPr>
            </w:pPr>
            <w:r>
              <w:rPr>
                <w:color w:val="FF0000"/>
              </w:rPr>
              <w:t xml:space="preserve">HSC1531 Medical Terminology </w:t>
            </w:r>
          </w:p>
          <w:p w14:paraId="7B003E14" w14:textId="77777777" w:rsidR="00E118C2" w:rsidRDefault="00E118C2" w:rsidP="00E118C2">
            <w:pPr>
              <w:spacing w:line="360" w:lineRule="auto"/>
              <w:rPr>
                <w:color w:val="FF0000"/>
              </w:rPr>
            </w:pPr>
            <w:r>
              <w:rPr>
                <w:color w:val="FF0000"/>
              </w:rPr>
              <w:t xml:space="preserve">BSC1084C Anatomy and Physiology </w:t>
            </w:r>
          </w:p>
          <w:p w14:paraId="535A70C9" w14:textId="77777777" w:rsidR="00E118C2" w:rsidRDefault="00E118C2" w:rsidP="00E118C2">
            <w:pPr>
              <w:spacing w:line="360" w:lineRule="auto"/>
              <w:rPr>
                <w:color w:val="FF0000"/>
              </w:rPr>
            </w:pPr>
            <w:r>
              <w:rPr>
                <w:color w:val="FF0000"/>
              </w:rPr>
              <w:t xml:space="preserve">                             OR </w:t>
            </w:r>
          </w:p>
          <w:p w14:paraId="4FA5C209" w14:textId="77777777" w:rsidR="00E118C2" w:rsidRDefault="00E118C2" w:rsidP="00E118C2">
            <w:pPr>
              <w:spacing w:line="360" w:lineRule="auto"/>
              <w:rPr>
                <w:color w:val="FF0000"/>
              </w:rPr>
            </w:pPr>
            <w:r>
              <w:rPr>
                <w:color w:val="FF0000"/>
              </w:rPr>
              <w:t>BSC 1093C and BSC 1094C</w:t>
            </w:r>
          </w:p>
          <w:p w14:paraId="2511A624" w14:textId="77777777" w:rsidR="00E118C2" w:rsidRDefault="00E118C2" w:rsidP="00E118C2">
            <w:pPr>
              <w:spacing w:line="360" w:lineRule="auto"/>
              <w:rPr>
                <w:color w:val="FF0000"/>
              </w:rPr>
            </w:pPr>
            <w:r>
              <w:rPr>
                <w:color w:val="FF0000"/>
              </w:rPr>
              <w:t xml:space="preserve">                             OR</w:t>
            </w:r>
          </w:p>
          <w:p w14:paraId="311F88DF" w14:textId="77777777" w:rsidR="00E118C2" w:rsidRDefault="00E118C2" w:rsidP="00E118C2">
            <w:pPr>
              <w:spacing w:line="360" w:lineRule="auto"/>
              <w:rPr>
                <w:color w:val="FF0000"/>
              </w:rPr>
            </w:pPr>
            <w:r>
              <w:rPr>
                <w:color w:val="FF0000"/>
              </w:rPr>
              <w:t>BSC1085C and BSC1086C</w:t>
            </w:r>
          </w:p>
          <w:p w14:paraId="2AB58F34" w14:textId="77777777" w:rsidR="007E2233" w:rsidRDefault="007E2233" w:rsidP="00EA1C9D">
            <w:pPr>
              <w:spacing w:line="360" w:lineRule="auto"/>
              <w:rPr>
                <w:color w:val="FF0000"/>
              </w:rPr>
            </w:pPr>
            <w:bookmarkStart w:id="2" w:name="_GoBack"/>
            <w:bookmarkEnd w:id="2"/>
            <w:r>
              <w:rPr>
                <w:color w:val="FF0000"/>
              </w:rPr>
              <w:t xml:space="preserve">HIM1140 Essentials of Pharmacology </w:t>
            </w:r>
          </w:p>
          <w:p w14:paraId="227F685F" w14:textId="77777777" w:rsidR="007E2233" w:rsidRDefault="007E2233" w:rsidP="00EA1C9D">
            <w:pPr>
              <w:spacing w:line="360" w:lineRule="auto"/>
              <w:rPr>
                <w:color w:val="FF0000"/>
              </w:rPr>
            </w:pPr>
            <w:r>
              <w:rPr>
                <w:color w:val="FF0000"/>
              </w:rPr>
              <w:t xml:space="preserve">HIM1430 Principles of Disease </w:t>
            </w:r>
          </w:p>
          <w:p w14:paraId="70DE7DA0" w14:textId="77777777" w:rsidR="00E83377" w:rsidRDefault="00E83377" w:rsidP="00EA1C9D">
            <w:pPr>
              <w:spacing w:line="360" w:lineRule="auto"/>
              <w:rPr>
                <w:color w:val="FF0000"/>
              </w:rPr>
            </w:pPr>
            <w:r>
              <w:rPr>
                <w:color w:val="FF0000"/>
              </w:rPr>
              <w:t>ALL WITH A GRADE OF C OR HIGHER</w:t>
            </w:r>
          </w:p>
          <w:p w14:paraId="4A9F6A3A" w14:textId="77F5628D" w:rsidR="000E7AEA" w:rsidRPr="00EA1C9D" w:rsidRDefault="000E7AEA" w:rsidP="00EA1C9D">
            <w:pPr>
              <w:spacing w:line="360" w:lineRule="auto"/>
              <w:rPr>
                <w:color w:val="FF0000"/>
              </w:rPr>
            </w:pPr>
            <w:r>
              <w:rPr>
                <w:color w:val="FF0000"/>
              </w:rPr>
              <w:t xml:space="preserve">OR Permission of HIT Program Director </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0F94F877" w:rsidR="00B90C32" w:rsidRPr="00EA1C9D" w:rsidRDefault="00E83377" w:rsidP="00EA1C9D">
            <w:pPr>
              <w:spacing w:line="360" w:lineRule="auto"/>
              <w:rPr>
                <w:color w:val="FF0000"/>
              </w:rPr>
            </w:pPr>
            <w:r>
              <w:rPr>
                <w:color w:val="FF0000"/>
              </w:rPr>
              <w:t>Coding requires foundational knowledge of medical terminology, anatomy and physiology, pharmacology and disease processes to be able to interpret and analyze medical record documentation.</w:t>
            </w: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4432AFA2" w:rsidR="00B24563" w:rsidRDefault="007E2233"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1F02197B" w:rsidR="0004692F" w:rsidRPr="00EA1C9D" w:rsidRDefault="007E2233" w:rsidP="00EA1C9D">
            <w:pPr>
              <w:spacing w:line="360" w:lineRule="auto"/>
              <w:rPr>
                <w:color w:val="FF0000"/>
              </w:rPr>
            </w:pPr>
            <w:r>
              <w:rPr>
                <w:color w:val="FF0000"/>
              </w:rPr>
              <w:t>None</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77777777" w:rsidR="00B90C32" w:rsidRDefault="00351E1C" w:rsidP="00B90C32">
            <w:pPr>
              <w:spacing w:line="360" w:lineRule="auto"/>
            </w:pPr>
            <w:sdt>
              <w:sdtPr>
                <w:id w:val="5757639"/>
                <w:placeholder>
                  <w:docPart w:val="94C2EE45919447CE82E53DEDC843D7A8"/>
                </w:placeholder>
                <w:showingPlcHdr/>
                <w:dropDownList>
                  <w:listItem w:value="Choose an item."/>
                  <w:listItem w:displayText="Yes" w:value="Yes"/>
                  <w:listItem w:displayText="No" w:value="No"/>
                </w:dropDownList>
              </w:sdtPr>
              <w:sdtEndPr/>
              <w:sdtContent>
                <w:r w:rsidR="00B90C32" w:rsidRPr="0042396F">
                  <w:rPr>
                    <w:rStyle w:val="PlaceholderText"/>
                    <w:color w:val="FF0000"/>
                  </w:rPr>
                  <w:t>Choose an item.</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76C734B0" w:rsidR="00B90C32" w:rsidRDefault="007E2233" w:rsidP="00B90C32">
            <w:pPr>
              <w:spacing w:line="360" w:lineRule="auto"/>
            </w:pPr>
            <w:r>
              <w:t>3 credits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7DB328CA" w:rsidR="00B90C32" w:rsidRDefault="007E2233" w:rsidP="00B90C32">
            <w:pPr>
              <w:spacing w:line="360" w:lineRule="auto"/>
            </w:pPr>
            <w:r>
              <w:t>3 contact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36346F41" w:rsidR="000569C5" w:rsidRPr="00EA0E4B" w:rsidRDefault="007E2233" w:rsidP="00B90C32">
            <w:pPr>
              <w:spacing w:line="360" w:lineRule="auto"/>
              <w:rPr>
                <w:color w:val="FF0000"/>
              </w:rPr>
            </w:pPr>
            <w:r>
              <w:rPr>
                <w:color w:val="FF0000"/>
              </w:rPr>
              <w:t>No</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62541BE4" w:rsidR="00B90C32" w:rsidRPr="00EA0E4B" w:rsidRDefault="007E2233"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6701B655" w:rsidR="00B90C32" w:rsidRPr="00EA0E4B" w:rsidRDefault="007E2233"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021BBDCA" w14:textId="77777777" w:rsidR="00E560B0" w:rsidRDefault="007E2233" w:rsidP="00B90C32">
            <w:pPr>
              <w:spacing w:line="360" w:lineRule="auto"/>
            </w:pPr>
            <w:r>
              <w:t>On Campus</w:t>
            </w:r>
          </w:p>
          <w:p w14:paraId="36597AA8" w14:textId="77777777" w:rsidR="007E2233" w:rsidRDefault="007E2233" w:rsidP="00B90C32">
            <w:pPr>
              <w:spacing w:line="360" w:lineRule="auto"/>
            </w:pPr>
            <w:r>
              <w:t xml:space="preserve">Blended </w:t>
            </w:r>
          </w:p>
          <w:p w14:paraId="31E317EE" w14:textId="73C9A7E8" w:rsidR="007E2233" w:rsidRPr="00EA0E4B" w:rsidRDefault="007E2233" w:rsidP="00B90C32">
            <w:pPr>
              <w:spacing w:line="360" w:lineRule="auto"/>
            </w:pPr>
            <w:r>
              <w:lastRenderedPageBreak/>
              <w:t>Online</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lastRenderedPageBreak/>
              <w:t xml:space="preserve">Course description  </w:t>
            </w:r>
            <w:r w:rsidRPr="00EA0E4B">
              <w:t>(provide below)</w:t>
            </w:r>
          </w:p>
        </w:tc>
      </w:tr>
      <w:tr w:rsidR="00B90C32" w14:paraId="3EF5DB20" w14:textId="77777777" w:rsidTr="00B962B5">
        <w:tc>
          <w:tcPr>
            <w:tcW w:w="9625" w:type="dxa"/>
            <w:gridSpan w:val="2"/>
          </w:tcPr>
          <w:p w14:paraId="6B0521FD" w14:textId="3989CDBF" w:rsidR="00B90C32" w:rsidRPr="001A642D" w:rsidRDefault="005E7598" w:rsidP="005E7598">
            <w:pPr>
              <w:shd w:val="clear" w:color="auto" w:fill="FFFFFF"/>
              <w:spacing w:after="75"/>
              <w:rPr>
                <w:rFonts w:cstheme="minorHAnsi"/>
                <w:color w:val="1F1E1E"/>
                <w:shd w:val="clear" w:color="auto" w:fill="FFFFFF"/>
              </w:rPr>
            </w:pPr>
            <w:r w:rsidRPr="001A642D">
              <w:rPr>
                <w:rFonts w:cstheme="minorHAnsi"/>
                <w:color w:val="1F1E1E"/>
                <w:shd w:val="clear" w:color="auto" w:fill="FFFFFF"/>
              </w:rPr>
              <w:t xml:space="preserve">This course addresses the format, use, structure and application of the International Classification of Diseases (ICD-10-CM) code set. This includes the coding of diseases and their relationship to the reimbursement for healthcare treatment in hospital and physician offices. Coding conventions, sequencing, and rules for correct coding are introduced. Students will learn to code diagnoses that describe patient illnesses, diseases, conditions, injuries, or other reasons for seeking healthcare services. </w:t>
            </w:r>
          </w:p>
        </w:tc>
      </w:tr>
    </w:tbl>
    <w:p w14:paraId="78E429F9" w14:textId="77777777" w:rsidR="00B24563" w:rsidRDefault="00B24563"/>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23ED3F72" w:rsidR="0004692F" w:rsidRDefault="00566B0F" w:rsidP="007F07C9">
            <w:pPr>
              <w:pStyle w:val="ListParagraph"/>
              <w:numPr>
                <w:ilvl w:val="0"/>
                <w:numId w:val="3"/>
              </w:numPr>
              <w:spacing w:line="360" w:lineRule="auto"/>
            </w:pPr>
            <w:r>
              <w:t xml:space="preserve">Introduction to ICD-10-CM </w:t>
            </w:r>
          </w:p>
          <w:p w14:paraId="5FA7BC39" w14:textId="55211DD0" w:rsidR="00566B0F" w:rsidRDefault="00566B0F" w:rsidP="007F07C9">
            <w:pPr>
              <w:pStyle w:val="ListParagraph"/>
              <w:numPr>
                <w:ilvl w:val="0"/>
                <w:numId w:val="3"/>
              </w:numPr>
              <w:spacing w:line="360" w:lineRule="auto"/>
            </w:pPr>
            <w:r>
              <w:t xml:space="preserve">Code </w:t>
            </w:r>
            <w:r w:rsidR="00A862B2">
              <w:t>S</w:t>
            </w:r>
            <w:r>
              <w:t>tructure</w:t>
            </w:r>
            <w:r w:rsidR="00A862B2">
              <w:t>, Format</w:t>
            </w:r>
            <w:r>
              <w:t xml:space="preserve"> and </w:t>
            </w:r>
            <w:r w:rsidR="00A862B2">
              <w:t>D</w:t>
            </w:r>
            <w:r>
              <w:t xml:space="preserve">evelopment </w:t>
            </w:r>
          </w:p>
          <w:p w14:paraId="43C29549" w14:textId="4ABFE97C" w:rsidR="00566B0F" w:rsidRDefault="00566B0F" w:rsidP="007F07C9">
            <w:pPr>
              <w:pStyle w:val="ListParagraph"/>
              <w:numPr>
                <w:ilvl w:val="0"/>
                <w:numId w:val="3"/>
              </w:numPr>
              <w:spacing w:line="360" w:lineRule="auto"/>
            </w:pPr>
            <w:r>
              <w:t xml:space="preserve">Coding </w:t>
            </w:r>
            <w:r w:rsidR="00A862B2">
              <w:t>C</w:t>
            </w:r>
            <w:r>
              <w:t xml:space="preserve">onventions </w:t>
            </w:r>
          </w:p>
          <w:p w14:paraId="693F1E41" w14:textId="77A9F95E" w:rsidR="00566B0F" w:rsidRDefault="00566B0F" w:rsidP="007F07C9">
            <w:pPr>
              <w:pStyle w:val="ListParagraph"/>
              <w:numPr>
                <w:ilvl w:val="0"/>
                <w:numId w:val="3"/>
              </w:numPr>
              <w:spacing w:line="360" w:lineRule="auto"/>
            </w:pPr>
            <w:r>
              <w:t xml:space="preserve">Official Coding Guidelines </w:t>
            </w:r>
          </w:p>
          <w:p w14:paraId="19B6A21A" w14:textId="77777777" w:rsidR="00A862B2" w:rsidRDefault="00566B0F" w:rsidP="007F07C9">
            <w:pPr>
              <w:pStyle w:val="ListParagraph"/>
              <w:numPr>
                <w:ilvl w:val="0"/>
                <w:numId w:val="3"/>
              </w:numPr>
              <w:spacing w:line="360" w:lineRule="auto"/>
            </w:pPr>
            <w:r>
              <w:t>Uniform Hospital Discharge Data Set</w:t>
            </w:r>
          </w:p>
          <w:p w14:paraId="4ED0958A" w14:textId="10EF797A" w:rsidR="00566B0F" w:rsidRDefault="00090CAB" w:rsidP="007F07C9">
            <w:pPr>
              <w:pStyle w:val="ListParagraph"/>
              <w:numPr>
                <w:ilvl w:val="0"/>
                <w:numId w:val="3"/>
              </w:numPr>
              <w:spacing w:line="360" w:lineRule="auto"/>
            </w:pPr>
            <w:r>
              <w:t>Health</w:t>
            </w:r>
            <w:r w:rsidR="00A862B2">
              <w:t xml:space="preserve"> Record Documentation Analysis</w:t>
            </w:r>
            <w:r w:rsidR="00566B0F">
              <w:t xml:space="preserve"> </w:t>
            </w:r>
          </w:p>
          <w:p w14:paraId="2DB5F4C1" w14:textId="6A8FCAB7" w:rsidR="007F07C9" w:rsidRDefault="00566B0F" w:rsidP="00566B0F">
            <w:pPr>
              <w:pStyle w:val="ListParagraph"/>
              <w:numPr>
                <w:ilvl w:val="0"/>
                <w:numId w:val="3"/>
              </w:numPr>
              <w:spacing w:line="360" w:lineRule="auto"/>
            </w:pPr>
            <w:r>
              <w:t>Chapter Specific Coding – Body System or Etiology</w:t>
            </w:r>
          </w:p>
        </w:tc>
      </w:tr>
    </w:tbl>
    <w:p w14:paraId="6DD992A2" w14:textId="6650999C" w:rsidR="002213A4" w:rsidRDefault="002213A4"/>
    <w:p w14:paraId="3D21D1AF" w14:textId="77777777" w:rsidR="002213A4" w:rsidRDefault="002213A4">
      <w:r>
        <w:br w:type="page"/>
      </w:r>
    </w:p>
    <w:p w14:paraId="6424795C" w14:textId="77777777"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198C29D2" w:rsidR="00B90C32" w:rsidRDefault="00B90C32" w:rsidP="00B90C32">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4F7CDACB" w14:textId="4CF2F83B" w:rsidR="00B90C32" w:rsidRDefault="00B90C32" w:rsidP="00B90C32">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b/>
            </w:r>
          </w:p>
          <w:p w14:paraId="2029D5DD" w14:textId="1A205961" w:rsidR="00A61C5B" w:rsidRPr="00A61C5B" w:rsidRDefault="00A61C5B" w:rsidP="003C12C0">
            <w:pPr>
              <w:pStyle w:val="ListParagraph"/>
              <w:numPr>
                <w:ilvl w:val="0"/>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b/>
                <w:color w:val="000000"/>
                <w:sz w:val="24"/>
                <w:szCs w:val="24"/>
              </w:rPr>
              <w:t>Think</w:t>
            </w:r>
          </w:p>
          <w:p w14:paraId="66119216" w14:textId="1CC79405" w:rsidR="00A61C5B" w:rsidRPr="00A61C5B" w:rsidRDefault="00A61C5B" w:rsidP="003C12C0">
            <w:pPr>
              <w:pStyle w:val="ListParagraph"/>
              <w:numPr>
                <w:ilvl w:val="1"/>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Analyze patient records to identify reportable diagnoses, illnesses, injuries and conditions. </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7EB2A61A" w14:textId="2D067B51" w:rsidR="00566B0F" w:rsidRDefault="00566B0F" w:rsidP="00566B0F">
            <w:pPr>
              <w:shd w:val="clear" w:color="auto" w:fill="FFFFFF"/>
              <w:spacing w:after="75"/>
              <w:ind w:left="720"/>
              <w:rPr>
                <w:rFonts w:ascii="Arial" w:eastAsia="Times New Roman" w:hAnsi="Arial" w:cs="Arial"/>
                <w:color w:val="1F1E1E"/>
                <w:sz w:val="18"/>
                <w:szCs w:val="18"/>
              </w:rPr>
            </w:pPr>
          </w:p>
          <w:p w14:paraId="7313D646" w14:textId="484039F0" w:rsidR="003C12C0" w:rsidRPr="00DC57FD" w:rsidRDefault="003C12C0" w:rsidP="003C12C0">
            <w:pPr>
              <w:pStyle w:val="ListParagraph"/>
              <w:widowControl w:val="0"/>
              <w:numPr>
                <w:ilvl w:val="0"/>
                <w:numId w:val="6"/>
              </w:numPr>
              <w:tabs>
                <w:tab w:val="left" w:pos="1088"/>
              </w:tabs>
              <w:suppressAutoHyphens/>
              <w:autoSpaceDE w:val="0"/>
              <w:autoSpaceDN w:val="0"/>
              <w:spacing w:before="1"/>
              <w:rPr>
                <w:rFonts w:eastAsia="Times New Roman" w:cs="Times New Roman"/>
                <w:b/>
                <w:snapToGrid w:val="0"/>
                <w:szCs w:val="20"/>
              </w:rPr>
            </w:pPr>
            <w:bookmarkStart w:id="3" w:name="_Hlk51769984"/>
            <w:r>
              <w:rPr>
                <w:rFonts w:eastAsia="Times New Roman" w:cs="Times New Roman"/>
                <w:snapToGrid w:val="0"/>
                <w:szCs w:val="20"/>
              </w:rPr>
              <w:t>Explain the concept of ethical coding</w:t>
            </w:r>
          </w:p>
          <w:p w14:paraId="3E6A1678" w14:textId="637DDEC8" w:rsidR="003C12C0" w:rsidRDefault="003C12C0" w:rsidP="003C12C0">
            <w:pPr>
              <w:numPr>
                <w:ilvl w:val="0"/>
                <w:numId w:val="6"/>
              </w:numPr>
              <w:shd w:val="clear" w:color="auto" w:fill="FFFFFF"/>
              <w:rPr>
                <w:rFonts w:eastAsia="Times New Roman" w:cstheme="minorHAnsi"/>
                <w:color w:val="2F2F2F"/>
              </w:rPr>
            </w:pPr>
            <w:r>
              <w:rPr>
                <w:rFonts w:eastAsia="Times New Roman" w:cstheme="minorHAnsi"/>
                <w:color w:val="2F2F2F"/>
              </w:rPr>
              <w:t xml:space="preserve">Explain the format and organization of ICD-10-CM </w:t>
            </w:r>
          </w:p>
          <w:p w14:paraId="604B16CA" w14:textId="77777777" w:rsidR="00566B0F" w:rsidRPr="00566B0F" w:rsidRDefault="00566B0F" w:rsidP="003C12C0">
            <w:pPr>
              <w:numPr>
                <w:ilvl w:val="0"/>
                <w:numId w:val="6"/>
              </w:numPr>
              <w:shd w:val="clear" w:color="auto" w:fill="FFFFFF"/>
              <w:rPr>
                <w:rFonts w:eastAsia="Times New Roman" w:cstheme="minorHAnsi"/>
                <w:color w:val="2F2F2F"/>
              </w:rPr>
            </w:pPr>
            <w:r w:rsidRPr="00566B0F">
              <w:rPr>
                <w:rFonts w:eastAsia="Times New Roman" w:cstheme="minorHAnsi"/>
                <w:color w:val="2F2F2F"/>
              </w:rPr>
              <w:t>Identify the ICD-10-CM conventions, including placeholders</w:t>
            </w:r>
          </w:p>
          <w:p w14:paraId="542A29C6" w14:textId="00C0EE0F" w:rsidR="00566B0F" w:rsidRDefault="00566B0F" w:rsidP="003C12C0">
            <w:pPr>
              <w:numPr>
                <w:ilvl w:val="0"/>
                <w:numId w:val="6"/>
              </w:numPr>
              <w:shd w:val="clear" w:color="auto" w:fill="FFFFFF"/>
              <w:rPr>
                <w:rFonts w:eastAsia="Times New Roman" w:cstheme="minorHAnsi"/>
                <w:color w:val="2F2F2F"/>
              </w:rPr>
            </w:pPr>
            <w:r w:rsidRPr="00566B0F">
              <w:rPr>
                <w:rFonts w:eastAsia="Times New Roman" w:cstheme="minorHAnsi"/>
                <w:color w:val="2F2F2F"/>
              </w:rPr>
              <w:t>Utilize proper coding guidelines for ICD-10-CM</w:t>
            </w:r>
          </w:p>
          <w:p w14:paraId="01F52D6A" w14:textId="54391155" w:rsidR="003C12C0" w:rsidRPr="003C12C0" w:rsidRDefault="003C12C0" w:rsidP="003C12C0">
            <w:pPr>
              <w:pStyle w:val="ListParagraph"/>
              <w:widowControl w:val="0"/>
              <w:numPr>
                <w:ilvl w:val="0"/>
                <w:numId w:val="6"/>
              </w:numPr>
              <w:tabs>
                <w:tab w:val="left" w:pos="1088"/>
              </w:tabs>
              <w:suppressAutoHyphens/>
              <w:autoSpaceDE w:val="0"/>
              <w:autoSpaceDN w:val="0"/>
              <w:spacing w:before="1"/>
              <w:rPr>
                <w:rFonts w:eastAsia="Times New Roman" w:cs="Times New Roman"/>
                <w:b/>
                <w:snapToGrid w:val="0"/>
                <w:szCs w:val="20"/>
              </w:rPr>
            </w:pPr>
            <w:r>
              <w:rPr>
                <w:rFonts w:eastAsia="Times New Roman" w:cs="Times New Roman"/>
                <w:snapToGrid w:val="0"/>
                <w:szCs w:val="20"/>
              </w:rPr>
              <w:t>Apply UHDDS definitions to correctly identify and code reportable diagnoses for inpatient encounters</w:t>
            </w:r>
          </w:p>
          <w:p w14:paraId="2852C74C" w14:textId="2C5AC225" w:rsidR="003C12C0" w:rsidRPr="00DC57FD" w:rsidRDefault="003C12C0" w:rsidP="003C12C0">
            <w:pPr>
              <w:pStyle w:val="ListParagraph"/>
              <w:widowControl w:val="0"/>
              <w:numPr>
                <w:ilvl w:val="0"/>
                <w:numId w:val="6"/>
              </w:numPr>
              <w:tabs>
                <w:tab w:val="left" w:pos="1088"/>
              </w:tabs>
              <w:suppressAutoHyphens/>
              <w:autoSpaceDE w:val="0"/>
              <w:autoSpaceDN w:val="0"/>
              <w:spacing w:before="1"/>
              <w:rPr>
                <w:rFonts w:eastAsia="Times New Roman" w:cs="Times New Roman"/>
                <w:b/>
                <w:snapToGrid w:val="0"/>
                <w:szCs w:val="20"/>
              </w:rPr>
            </w:pPr>
            <w:r>
              <w:rPr>
                <w:rFonts w:eastAsia="Times New Roman" w:cs="Times New Roman"/>
                <w:snapToGrid w:val="0"/>
                <w:szCs w:val="20"/>
              </w:rPr>
              <w:t>Apply official guidelines for coding and reporting ICD-10-CM codes for all care settings</w:t>
            </w:r>
          </w:p>
          <w:p w14:paraId="4679C846" w14:textId="30D6DE3C" w:rsidR="003C12C0" w:rsidRPr="00DC57FD" w:rsidRDefault="003C12C0" w:rsidP="003C12C0">
            <w:pPr>
              <w:pStyle w:val="ListParagraph"/>
              <w:widowControl w:val="0"/>
              <w:numPr>
                <w:ilvl w:val="0"/>
                <w:numId w:val="6"/>
              </w:numPr>
              <w:tabs>
                <w:tab w:val="left" w:pos="1088"/>
              </w:tabs>
              <w:suppressAutoHyphens/>
              <w:autoSpaceDE w:val="0"/>
              <w:autoSpaceDN w:val="0"/>
              <w:spacing w:before="1"/>
              <w:rPr>
                <w:rFonts w:eastAsia="Times New Roman" w:cs="Times New Roman"/>
                <w:b/>
                <w:snapToGrid w:val="0"/>
                <w:szCs w:val="20"/>
              </w:rPr>
            </w:pPr>
            <w:r>
              <w:rPr>
                <w:rFonts w:eastAsia="Times New Roman" w:cs="Times New Roman"/>
                <w:snapToGrid w:val="0"/>
                <w:szCs w:val="20"/>
              </w:rPr>
              <w:t>Differentiate between facility-based and professional fee coding and reporting.</w:t>
            </w:r>
          </w:p>
          <w:p w14:paraId="49050723" w14:textId="6F729241" w:rsidR="003C12C0" w:rsidRPr="00DC57FD" w:rsidRDefault="003C12C0" w:rsidP="003C12C0">
            <w:pPr>
              <w:pStyle w:val="ListParagraph"/>
              <w:widowControl w:val="0"/>
              <w:numPr>
                <w:ilvl w:val="0"/>
                <w:numId w:val="6"/>
              </w:numPr>
              <w:tabs>
                <w:tab w:val="left" w:pos="1088"/>
              </w:tabs>
              <w:suppressAutoHyphens/>
              <w:autoSpaceDE w:val="0"/>
              <w:autoSpaceDN w:val="0"/>
              <w:spacing w:before="1"/>
              <w:rPr>
                <w:rFonts w:eastAsia="Times New Roman" w:cs="Times New Roman"/>
                <w:snapToGrid w:val="0"/>
                <w:szCs w:val="20"/>
              </w:rPr>
            </w:pPr>
            <w:r w:rsidRPr="00DC57FD">
              <w:rPr>
                <w:rFonts w:eastAsia="Times New Roman" w:cs="Times New Roman"/>
                <w:snapToGrid w:val="0"/>
                <w:szCs w:val="20"/>
              </w:rPr>
              <w:t>Demonstrate proficiency in encoder software application use</w:t>
            </w:r>
          </w:p>
          <w:p w14:paraId="56FAD13B" w14:textId="46A1DA2C" w:rsidR="00566B0F" w:rsidRPr="003C12C0" w:rsidRDefault="00566B0F" w:rsidP="003C12C0">
            <w:pPr>
              <w:pStyle w:val="ListParagraph"/>
              <w:widowControl w:val="0"/>
              <w:numPr>
                <w:ilvl w:val="0"/>
                <w:numId w:val="6"/>
              </w:numPr>
              <w:tabs>
                <w:tab w:val="left" w:pos="1088"/>
              </w:tabs>
              <w:suppressAutoHyphens/>
              <w:autoSpaceDE w:val="0"/>
              <w:autoSpaceDN w:val="0"/>
              <w:spacing w:before="1"/>
              <w:rPr>
                <w:rFonts w:eastAsia="Times New Roman" w:cs="Times New Roman"/>
                <w:b/>
                <w:snapToGrid w:val="0"/>
                <w:szCs w:val="20"/>
              </w:rPr>
            </w:pPr>
            <w:r w:rsidRPr="003C12C0">
              <w:rPr>
                <w:rFonts w:eastAsia="Times New Roman" w:cstheme="minorHAnsi"/>
                <w:color w:val="2F2F2F"/>
              </w:rPr>
              <w:t xml:space="preserve">Abstract reportable diagnoses, illnesses, injuries and conditions </w:t>
            </w:r>
          </w:p>
          <w:p w14:paraId="3C1A69BB" w14:textId="136F6961" w:rsidR="00566B0F" w:rsidRDefault="00566B0F" w:rsidP="003C12C0">
            <w:pPr>
              <w:numPr>
                <w:ilvl w:val="0"/>
                <w:numId w:val="6"/>
              </w:numPr>
              <w:shd w:val="clear" w:color="auto" w:fill="FFFFFF"/>
              <w:rPr>
                <w:rFonts w:eastAsia="Times New Roman" w:cstheme="minorHAnsi"/>
                <w:color w:val="2F2F2F"/>
              </w:rPr>
            </w:pPr>
            <w:r>
              <w:rPr>
                <w:rFonts w:eastAsia="Times New Roman" w:cstheme="minorHAnsi"/>
                <w:color w:val="2F2F2F"/>
              </w:rPr>
              <w:t xml:space="preserve">Differentiate between a sign, symptom and condition </w:t>
            </w:r>
          </w:p>
          <w:p w14:paraId="342A7007" w14:textId="04ABE931" w:rsidR="00566B0F" w:rsidRPr="00566B0F" w:rsidRDefault="00566B0F" w:rsidP="003C12C0">
            <w:pPr>
              <w:numPr>
                <w:ilvl w:val="0"/>
                <w:numId w:val="6"/>
              </w:numPr>
              <w:shd w:val="clear" w:color="auto" w:fill="FFFFFF"/>
              <w:rPr>
                <w:rFonts w:eastAsia="Times New Roman" w:cstheme="minorHAnsi"/>
                <w:color w:val="2F2F2F"/>
              </w:rPr>
            </w:pPr>
            <w:r>
              <w:rPr>
                <w:rFonts w:eastAsia="Times New Roman" w:cstheme="minorHAnsi"/>
                <w:color w:val="2F2F2F"/>
              </w:rPr>
              <w:t>Recognize signs and symptoms that are integral to a documented disease/condition</w:t>
            </w:r>
          </w:p>
          <w:p w14:paraId="1A99BBB3" w14:textId="6F7EB95D" w:rsidR="00566B0F" w:rsidRPr="00566B0F" w:rsidRDefault="00566B0F" w:rsidP="003C12C0">
            <w:pPr>
              <w:numPr>
                <w:ilvl w:val="0"/>
                <w:numId w:val="6"/>
              </w:numPr>
              <w:shd w:val="clear" w:color="auto" w:fill="FFFFFF"/>
              <w:rPr>
                <w:rFonts w:eastAsia="Times New Roman" w:cstheme="minorHAnsi"/>
                <w:color w:val="2F2F2F"/>
              </w:rPr>
            </w:pPr>
            <w:r w:rsidRPr="00566B0F">
              <w:rPr>
                <w:rFonts w:eastAsia="Times New Roman" w:cstheme="minorHAnsi"/>
                <w:color w:val="2F2F2F"/>
              </w:rPr>
              <w:t xml:space="preserve">Assign ICD-10-CM </w:t>
            </w:r>
            <w:r>
              <w:rPr>
                <w:rFonts w:eastAsia="Times New Roman" w:cstheme="minorHAnsi"/>
                <w:color w:val="2F2F2F"/>
              </w:rPr>
              <w:t xml:space="preserve">codes </w:t>
            </w:r>
            <w:r w:rsidRPr="00566B0F">
              <w:rPr>
                <w:rFonts w:eastAsia="Times New Roman" w:cstheme="minorHAnsi"/>
                <w:color w:val="2F2F2F"/>
              </w:rPr>
              <w:t>for complete inpatient encounters</w:t>
            </w:r>
          </w:p>
          <w:p w14:paraId="53AE1234" w14:textId="2E742F4B" w:rsidR="00B90C32" w:rsidRPr="00566B0F" w:rsidRDefault="00566B0F" w:rsidP="003C12C0">
            <w:pPr>
              <w:pStyle w:val="ListParagraph"/>
              <w:numPr>
                <w:ilvl w:val="0"/>
                <w:numId w:val="6"/>
              </w:numPr>
              <w:shd w:val="clear" w:color="auto" w:fill="FFFFFF"/>
              <w:spacing w:after="75"/>
              <w:rPr>
                <w:rFonts w:eastAsia="Times New Roman" w:cstheme="minorHAnsi"/>
                <w:color w:val="1F1E1E"/>
              </w:rPr>
            </w:pPr>
            <w:r>
              <w:rPr>
                <w:rFonts w:eastAsia="Times New Roman" w:cstheme="minorHAnsi"/>
                <w:color w:val="1F1E1E"/>
              </w:rPr>
              <w:t>Assign ICD-10-CM codes for complete outpatient encounters</w:t>
            </w:r>
          </w:p>
          <w:bookmarkEnd w:id="3"/>
          <w:p w14:paraId="682BCDBC" w14:textId="0DFAE0B0" w:rsidR="00086941" w:rsidRPr="007F07C9" w:rsidRDefault="00086941" w:rsidP="004B64F6">
            <w:pPr>
              <w:rPr>
                <w:b/>
              </w:rPr>
            </w:pPr>
          </w:p>
        </w:tc>
      </w:tr>
      <w:tr w:rsidR="00A61C5B" w14:paraId="4CAE9D30" w14:textId="77777777" w:rsidTr="00B962B5">
        <w:trPr>
          <w:trHeight w:val="2054"/>
        </w:trPr>
        <w:tc>
          <w:tcPr>
            <w:tcW w:w="9625" w:type="dxa"/>
          </w:tcPr>
          <w:p w14:paraId="641D2202" w14:textId="77777777" w:rsidR="00A61C5B" w:rsidRPr="00D00D6B" w:rsidRDefault="00A61C5B" w:rsidP="00B90C32">
            <w:pPr>
              <w:shd w:val="clear" w:color="auto" w:fill="FFFFFF"/>
              <w:rPr>
                <w:rFonts w:ascii="Calibri" w:eastAsia="Times New Roman" w:hAnsi="Calibri" w:cs="Times New Roman"/>
                <w:b/>
                <w:bCs/>
                <w:color w:val="000000"/>
                <w:sz w:val="24"/>
                <w:szCs w:val="24"/>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6D84D0FC" w14:textId="77777777" w:rsidR="00B962B5" w:rsidRDefault="00B962B5"/>
          <w:p w14:paraId="1B52557A" w14:textId="6860A2E0" w:rsidR="00B962B5" w:rsidRDefault="00C555E9">
            <w:r>
              <w:rPr>
                <w:rFonts w:ascii="Arial" w:hAnsi="Arial" w:cs="Arial"/>
                <w:color w:val="1F1E1E"/>
                <w:sz w:val="18"/>
                <w:szCs w:val="18"/>
                <w:shd w:val="clear" w:color="auto" w:fill="FFFFFF"/>
              </w:rPr>
              <w:t>THIS COURSE ADDRESSES THE USE OF THE INTERNATIONAL CLASSIFICATION OF DISEASES (ICD-10-CM) DIAGNOSIS CODING. THIS INCLUDES THE CODING OF DISEASES AND THEIR RELATIONSHIP TO THE REIMBURSEMENT FOR HEALTHCARE TREATMENT IN HOSPITALS AND PHYSICIANS OFFICES. CODING CONVENTIONS, SEQUENCING, AND RULES FOR CORRECT CODING ARE INTRODUCED.</w:t>
            </w:r>
          </w:p>
          <w:p w14:paraId="40A5DB99" w14:textId="77777777" w:rsidR="00B962B5" w:rsidRDefault="00B962B5"/>
          <w:p w14:paraId="35E651DA" w14:textId="77777777" w:rsidR="00B962B5" w:rsidRDefault="00B962B5"/>
          <w:p w14:paraId="5FDEE6CB" w14:textId="77777777" w:rsidR="00B962B5" w:rsidRDefault="00B962B5"/>
          <w:p w14:paraId="0548E858" w14:textId="77777777" w:rsidR="00B962B5" w:rsidRDefault="00B962B5"/>
          <w:p w14:paraId="59062F57" w14:textId="77777777" w:rsidR="00B962B5" w:rsidRDefault="00B962B5"/>
          <w:p w14:paraId="5D52FF5C" w14:textId="77777777" w:rsidR="00B962B5" w:rsidRDefault="00B962B5"/>
          <w:p w14:paraId="541B55B2" w14:textId="77777777" w:rsidR="00B962B5" w:rsidRDefault="00B962B5"/>
          <w:p w14:paraId="37B36F5F" w14:textId="77777777" w:rsidR="00B962B5" w:rsidRDefault="00B962B5"/>
          <w:p w14:paraId="79C463F4" w14:textId="77777777" w:rsidR="00B962B5" w:rsidRDefault="00B962B5"/>
          <w:p w14:paraId="7E3B7CAD" w14:textId="77777777" w:rsidR="00B962B5" w:rsidRDefault="00B962B5"/>
          <w:p w14:paraId="4B2AEE8F" w14:textId="77777777" w:rsidR="00B962B5" w:rsidRDefault="00B962B5"/>
          <w:p w14:paraId="025F7EF2" w14:textId="77777777" w:rsidR="00B962B5" w:rsidRDefault="00B962B5"/>
        </w:tc>
      </w:tr>
    </w:tbl>
    <w:p w14:paraId="226866B0" w14:textId="7E92B709" w:rsidR="002213A4" w:rsidRDefault="002213A4" w:rsidP="00B962B5">
      <w:pPr>
        <w:spacing w:after="0" w:line="240" w:lineRule="auto"/>
      </w:pPr>
    </w:p>
    <w:p w14:paraId="5D84D359" w14:textId="77777777" w:rsidR="002213A4" w:rsidRDefault="002213A4">
      <w:r>
        <w:br w:type="page"/>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4FD8124F" w:rsidR="00EA1C9D" w:rsidRPr="00EA0E4B" w:rsidRDefault="00351E1C"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61C5B">
                  <w:rPr>
                    <w:caps/>
                    <w:color w:val="FF0000"/>
                  </w:rPr>
                  <w:t>ADVANCED AND PROFESSIONAL - 1.11.12 - HEALTH PROFESSIONS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3FFE9F41" w:rsidR="00556E99" w:rsidRPr="00EA0E4B" w:rsidRDefault="00A61C5B" w:rsidP="00B227AF">
                <w:pPr>
                  <w:spacing w:line="360" w:lineRule="auto"/>
                  <w:rPr>
                    <w:caps/>
                    <w:color w:val="FF0000"/>
                  </w:rPr>
                </w:pPr>
                <w:r>
                  <w:rPr>
                    <w:caps/>
                    <w:color w:val="FF0000"/>
                  </w:rPr>
                  <w:t>11112 Health Professions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28F69B36" w:rsidR="001B78B5" w:rsidRPr="00EA0E4B" w:rsidRDefault="00A61C5B" w:rsidP="00B227AF">
                <w:pPr>
                  <w:spacing w:line="360" w:lineRule="auto"/>
                  <w:rPr>
                    <w:caps/>
                    <w:color w:val="FF0000"/>
                  </w:rPr>
                </w:pPr>
                <w:r>
                  <w:rPr>
                    <w:caps/>
                    <w:color w:val="FF0000"/>
                  </w:rPr>
                  <w:t>AS AS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showingPlcHdr/>
              <w:dropDownList>
                <w:listItem w:value="Choose an item."/>
                <w:listItem w:displayText="Yes" w:value="Yes"/>
                <w:listItem w:displayText="No" w:value="No"/>
              </w:dropDownList>
            </w:sdtPr>
            <w:sdtEndPr>
              <w:rPr>
                <w:color w:val="auto"/>
              </w:rPr>
            </w:sdtEndPr>
            <w:sdtContent>
              <w:p w14:paraId="67D187C7" w14:textId="77777777" w:rsidR="00B227AF" w:rsidRDefault="00B227AF" w:rsidP="00B227AF">
                <w:pPr>
                  <w:spacing w:line="360" w:lineRule="auto"/>
                </w:pPr>
                <w:r w:rsidRPr="00B227AF">
                  <w:rPr>
                    <w:rStyle w:val="PlaceholderText"/>
                    <w:color w:val="FF0000"/>
                  </w:rPr>
                  <w:t>Choose an item.</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63CAC950" w:rsidR="00E3785C" w:rsidRDefault="001A642D"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2B7ED41E" w:rsidR="00E3785C" w:rsidRDefault="001A642D"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74883F67" w:rsidR="00E3785C" w:rsidRDefault="001A642D"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7A927181" w:rsidR="00E3785C" w:rsidRDefault="00351E1C"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A862B2">
                  <w:t>No</w:t>
                </w:r>
              </w:sdtContent>
            </w:sdt>
          </w:p>
          <w:p w14:paraId="245E4A3F" w14:textId="77777777" w:rsidR="00B227AF" w:rsidRDefault="00B227AF" w:rsidP="00DE74AE">
            <w:pPr>
              <w:spacing w:line="360" w:lineRule="auto"/>
            </w:pPr>
            <w:r w:rsidRPr="00DE74AE">
              <w:rPr>
                <w:color w:val="FF0000"/>
              </w:rPr>
              <w:t xml:space="preserve">If repeatable, list </w:t>
            </w:r>
            <w:r w:rsidR="00DE74AE" w:rsidRPr="00DE74AE">
              <w:rPr>
                <w:color w:val="FF0000"/>
              </w:rPr>
              <w:t>maximum number of credits</w:t>
            </w:r>
            <w:r w:rsidR="008F0BBA">
              <w:rPr>
                <w:color w:val="FF0000"/>
              </w:rPr>
              <w:t xml:space="preserve"> </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6AC5C414" w:rsidR="00BE2299" w:rsidRDefault="00351E1C"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A862B2">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1F24D652" w:rsidR="00E3785C" w:rsidRDefault="00351E1C"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7B24C1">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09BAB6CC" w:rsidR="00E3785C" w:rsidRPr="00E75169" w:rsidRDefault="007B24C1" w:rsidP="00E3785C">
            <w:pPr>
              <w:spacing w:line="360" w:lineRule="auto"/>
              <w:rPr>
                <w:color w:val="FF0000"/>
              </w:rPr>
            </w:pPr>
            <w:r>
              <w:rPr>
                <w:color w:val="FF0000"/>
              </w:rPr>
              <w:t xml:space="preserve">This new course will be incorporated into the College Credit Certificate in Medical Information Coding and Billing (CCC in MICB).  </w:t>
            </w:r>
          </w:p>
        </w:tc>
      </w:tr>
      <w:tr w:rsidR="001F6EB3" w14:paraId="16D03218" w14:textId="77777777" w:rsidTr="00DD1B2F">
        <w:tc>
          <w:tcPr>
            <w:tcW w:w="9625" w:type="dxa"/>
            <w:gridSpan w:val="2"/>
          </w:tcPr>
          <w:p w14:paraId="758280E7" w14:textId="77777777" w:rsidR="001F6EB3" w:rsidRDefault="001F6EB3" w:rsidP="00E3785C">
            <w:pPr>
              <w:spacing w:line="360" w:lineRule="auto"/>
              <w:rPr>
                <w:b/>
              </w:rPr>
            </w:pPr>
            <w:r w:rsidRPr="007A2162">
              <w:rPr>
                <w:b/>
              </w:rPr>
              <w:lastRenderedPageBreak/>
              <w:t>Have you discussed this proposal with anyone (from other departments, programs, or institutions) regarding the impact?  Were any agreements made?  Provide detail information below.</w:t>
            </w:r>
          </w:p>
          <w:p w14:paraId="3011A940" w14:textId="77777777" w:rsidR="007B24C1" w:rsidRDefault="007B24C1" w:rsidP="00E3785C">
            <w:pPr>
              <w:spacing w:line="360" w:lineRule="auto"/>
              <w:rPr>
                <w:b/>
                <w:color w:val="FF0000"/>
              </w:rPr>
            </w:pPr>
            <w:r>
              <w:rPr>
                <w:b/>
                <w:color w:val="FF0000"/>
              </w:rPr>
              <w:t xml:space="preserve">The addition of the course has been presented and discussed with the Advisor for the School of Health Professions, Cassie Steves. </w:t>
            </w:r>
          </w:p>
          <w:p w14:paraId="212235C3" w14:textId="77777777" w:rsidR="00A862B2" w:rsidRDefault="007B24C1" w:rsidP="00E3785C">
            <w:pPr>
              <w:spacing w:line="360" w:lineRule="auto"/>
              <w:rPr>
                <w:b/>
                <w:color w:val="FF0000"/>
              </w:rPr>
            </w:pPr>
            <w:r>
              <w:rPr>
                <w:b/>
                <w:color w:val="FF0000"/>
              </w:rPr>
              <w:t xml:space="preserve">There are no budgetary impacts. </w:t>
            </w:r>
          </w:p>
          <w:p w14:paraId="5CCBF057" w14:textId="7005F61B" w:rsidR="007B24C1" w:rsidRPr="007A2162" w:rsidRDefault="007B24C1" w:rsidP="00E3785C">
            <w:pPr>
              <w:spacing w:line="360" w:lineRule="auto"/>
              <w:rPr>
                <w:b/>
                <w:color w:val="FF0000"/>
              </w:rPr>
            </w:pPr>
            <w:r>
              <w:rPr>
                <w:b/>
                <w:color w:val="FF0000"/>
              </w:rPr>
              <w:t xml:space="preserve">The AS in HIT Program Director is also responsible for the CCC in MICB certificate. </w:t>
            </w:r>
          </w:p>
        </w:tc>
      </w:tr>
    </w:tbl>
    <w:p w14:paraId="62A63068" w14:textId="77777777" w:rsidR="00AD7A41" w:rsidRDefault="00AD7A41">
      <w:r>
        <w:br w:type="page"/>
      </w:r>
    </w:p>
    <w:p w14:paraId="51B55F1B" w14:textId="77777777"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560D394E" w14:textId="570AA314" w:rsidR="00970B5D" w:rsidRPr="00E75169" w:rsidRDefault="00A862B2" w:rsidP="00970B5D">
            <w:pPr>
              <w:spacing w:line="360" w:lineRule="auto"/>
              <w:rPr>
                <w:color w:val="FF0000"/>
              </w:rPr>
            </w:pPr>
            <w:r>
              <w:rPr>
                <w:color w:val="FF0000"/>
              </w:rPr>
              <w:t xml:space="preserve">The current HIM2724 Basic ICD-10 Coding course was created when the new coding system was implemented in 2015. This current course attempts to cover both the ICD-10-CM and ICD-10-PCS codes sets. Since that time, the use and application of both codes sets has expanded and the need to provide comprehensive coverage of each code set has become apparent. A separate course focused on just diagnosis coding is needed to fully prepare students for work in the HIM Profession. </w:t>
            </w:r>
          </w:p>
        </w:tc>
      </w:tr>
    </w:tbl>
    <w:p w14:paraId="74D331C8" w14:textId="77777777" w:rsidR="00970B5D" w:rsidRDefault="00970B5D"/>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A4B2E" w14:textId="77777777" w:rsidR="00351E1C" w:rsidRDefault="00351E1C" w:rsidP="00B24563">
      <w:pPr>
        <w:spacing w:after="0" w:line="240" w:lineRule="auto"/>
      </w:pPr>
      <w:r>
        <w:separator/>
      </w:r>
    </w:p>
  </w:endnote>
  <w:endnote w:type="continuationSeparator" w:id="0">
    <w:p w14:paraId="37B0E353" w14:textId="77777777" w:rsidR="00351E1C" w:rsidRDefault="00351E1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C7D5" w14:textId="77777777" w:rsidR="00351E1C" w:rsidRDefault="00351E1C" w:rsidP="00B24563">
      <w:pPr>
        <w:spacing w:after="0" w:line="240" w:lineRule="auto"/>
      </w:pPr>
      <w:r>
        <w:separator/>
      </w:r>
    </w:p>
  </w:footnote>
  <w:footnote w:type="continuationSeparator" w:id="0">
    <w:p w14:paraId="672D89BF" w14:textId="77777777" w:rsidR="00351E1C" w:rsidRDefault="00351E1C"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B70"/>
    <w:multiLevelType w:val="hybridMultilevel"/>
    <w:tmpl w:val="ADCE3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7420F6"/>
    <w:multiLevelType w:val="multilevel"/>
    <w:tmpl w:val="44B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FD57AB"/>
    <w:multiLevelType w:val="hybridMultilevel"/>
    <w:tmpl w:val="E604CF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86941"/>
    <w:rsid w:val="00090CAB"/>
    <w:rsid w:val="000E6709"/>
    <w:rsid w:val="000E7AEA"/>
    <w:rsid w:val="00102591"/>
    <w:rsid w:val="00111AA8"/>
    <w:rsid w:val="00112CD9"/>
    <w:rsid w:val="00113A30"/>
    <w:rsid w:val="00140FDA"/>
    <w:rsid w:val="00167A45"/>
    <w:rsid w:val="00172E75"/>
    <w:rsid w:val="00175745"/>
    <w:rsid w:val="00192A9E"/>
    <w:rsid w:val="00195410"/>
    <w:rsid w:val="001A642D"/>
    <w:rsid w:val="001B78B5"/>
    <w:rsid w:val="001E305A"/>
    <w:rsid w:val="001F2729"/>
    <w:rsid w:val="001F6EB3"/>
    <w:rsid w:val="002001F8"/>
    <w:rsid w:val="002213A4"/>
    <w:rsid w:val="002323BD"/>
    <w:rsid w:val="002358FC"/>
    <w:rsid w:val="002557B9"/>
    <w:rsid w:val="00271E7F"/>
    <w:rsid w:val="002F62CF"/>
    <w:rsid w:val="00351E1C"/>
    <w:rsid w:val="00367347"/>
    <w:rsid w:val="00383360"/>
    <w:rsid w:val="00392511"/>
    <w:rsid w:val="003A6AE6"/>
    <w:rsid w:val="003B750E"/>
    <w:rsid w:val="003C12C0"/>
    <w:rsid w:val="003F15FF"/>
    <w:rsid w:val="004051C2"/>
    <w:rsid w:val="00420FBD"/>
    <w:rsid w:val="0042396F"/>
    <w:rsid w:val="00436CEF"/>
    <w:rsid w:val="00437722"/>
    <w:rsid w:val="004727CA"/>
    <w:rsid w:val="004813B1"/>
    <w:rsid w:val="004B64F6"/>
    <w:rsid w:val="00527BC4"/>
    <w:rsid w:val="00535E49"/>
    <w:rsid w:val="005518FC"/>
    <w:rsid w:val="00556E99"/>
    <w:rsid w:val="00566B0F"/>
    <w:rsid w:val="005B4FC2"/>
    <w:rsid w:val="005E5CE7"/>
    <w:rsid w:val="005E7598"/>
    <w:rsid w:val="00602236"/>
    <w:rsid w:val="00610F98"/>
    <w:rsid w:val="0061127C"/>
    <w:rsid w:val="006A3BE1"/>
    <w:rsid w:val="006A7D96"/>
    <w:rsid w:val="006D2DEF"/>
    <w:rsid w:val="00703747"/>
    <w:rsid w:val="00711E54"/>
    <w:rsid w:val="00753DC2"/>
    <w:rsid w:val="00780C6D"/>
    <w:rsid w:val="00782B97"/>
    <w:rsid w:val="007A2162"/>
    <w:rsid w:val="007B24C1"/>
    <w:rsid w:val="007B7776"/>
    <w:rsid w:val="007C2435"/>
    <w:rsid w:val="007C6990"/>
    <w:rsid w:val="007E2233"/>
    <w:rsid w:val="007E56F1"/>
    <w:rsid w:val="007E5C08"/>
    <w:rsid w:val="007F07C9"/>
    <w:rsid w:val="00831ACB"/>
    <w:rsid w:val="008668A2"/>
    <w:rsid w:val="008713E3"/>
    <w:rsid w:val="008F0BBA"/>
    <w:rsid w:val="009206C3"/>
    <w:rsid w:val="00931368"/>
    <w:rsid w:val="00941B90"/>
    <w:rsid w:val="00952E48"/>
    <w:rsid w:val="009629DF"/>
    <w:rsid w:val="00970B5D"/>
    <w:rsid w:val="00972398"/>
    <w:rsid w:val="00986D91"/>
    <w:rsid w:val="00992AC1"/>
    <w:rsid w:val="00997400"/>
    <w:rsid w:val="009A0D0A"/>
    <w:rsid w:val="009D3121"/>
    <w:rsid w:val="00A1036B"/>
    <w:rsid w:val="00A61C5B"/>
    <w:rsid w:val="00A73BD8"/>
    <w:rsid w:val="00A815A9"/>
    <w:rsid w:val="00A862B2"/>
    <w:rsid w:val="00AA768D"/>
    <w:rsid w:val="00AB6B0E"/>
    <w:rsid w:val="00AD434E"/>
    <w:rsid w:val="00AD7A41"/>
    <w:rsid w:val="00AF7953"/>
    <w:rsid w:val="00B0335D"/>
    <w:rsid w:val="00B035B8"/>
    <w:rsid w:val="00B227AF"/>
    <w:rsid w:val="00B24563"/>
    <w:rsid w:val="00B87718"/>
    <w:rsid w:val="00B90C32"/>
    <w:rsid w:val="00B94325"/>
    <w:rsid w:val="00B962B5"/>
    <w:rsid w:val="00BA51CC"/>
    <w:rsid w:val="00BD6BE9"/>
    <w:rsid w:val="00BE2299"/>
    <w:rsid w:val="00BE3172"/>
    <w:rsid w:val="00BF6A71"/>
    <w:rsid w:val="00C25E76"/>
    <w:rsid w:val="00C40BBE"/>
    <w:rsid w:val="00C555E9"/>
    <w:rsid w:val="00C647CC"/>
    <w:rsid w:val="00C65B67"/>
    <w:rsid w:val="00C84F67"/>
    <w:rsid w:val="00C97FFD"/>
    <w:rsid w:val="00CD7A16"/>
    <w:rsid w:val="00D04C6A"/>
    <w:rsid w:val="00D06FF2"/>
    <w:rsid w:val="00D4466B"/>
    <w:rsid w:val="00D76C62"/>
    <w:rsid w:val="00D8244E"/>
    <w:rsid w:val="00D92B94"/>
    <w:rsid w:val="00DA49C3"/>
    <w:rsid w:val="00DA54E3"/>
    <w:rsid w:val="00DD15C7"/>
    <w:rsid w:val="00DD1B2F"/>
    <w:rsid w:val="00DD466F"/>
    <w:rsid w:val="00DE004C"/>
    <w:rsid w:val="00DE74AE"/>
    <w:rsid w:val="00E118C2"/>
    <w:rsid w:val="00E1666B"/>
    <w:rsid w:val="00E2674E"/>
    <w:rsid w:val="00E3785C"/>
    <w:rsid w:val="00E560B0"/>
    <w:rsid w:val="00E75169"/>
    <w:rsid w:val="00E83377"/>
    <w:rsid w:val="00E83876"/>
    <w:rsid w:val="00EA0E4B"/>
    <w:rsid w:val="00EA1C9D"/>
    <w:rsid w:val="00F33C4C"/>
    <w:rsid w:val="00F35F8A"/>
    <w:rsid w:val="00F36778"/>
    <w:rsid w:val="00F46C89"/>
    <w:rsid w:val="00F658F6"/>
    <w:rsid w:val="00F87E6C"/>
    <w:rsid w:val="00F93107"/>
    <w:rsid w:val="00FB0FFA"/>
    <w:rsid w:val="00FB1F41"/>
    <w:rsid w:val="00FB5FD4"/>
    <w:rsid w:val="00FB7B21"/>
    <w:rsid w:val="00FC5BAE"/>
    <w:rsid w:val="00FE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742345">
      <w:bodyDiv w:val="1"/>
      <w:marLeft w:val="0"/>
      <w:marRight w:val="0"/>
      <w:marTop w:val="0"/>
      <w:marBottom w:val="0"/>
      <w:divBdr>
        <w:top w:val="none" w:sz="0" w:space="0" w:color="auto"/>
        <w:left w:val="none" w:sz="0" w:space="0" w:color="auto"/>
        <w:bottom w:val="none" w:sz="0" w:space="0" w:color="auto"/>
        <w:right w:val="none" w:sz="0" w:space="0" w:color="auto"/>
      </w:divBdr>
    </w:div>
    <w:div w:id="850460766">
      <w:bodyDiv w:val="1"/>
      <w:marLeft w:val="0"/>
      <w:marRight w:val="0"/>
      <w:marTop w:val="0"/>
      <w:marBottom w:val="0"/>
      <w:divBdr>
        <w:top w:val="none" w:sz="0" w:space="0" w:color="auto"/>
        <w:left w:val="none" w:sz="0" w:space="0" w:color="auto"/>
        <w:bottom w:val="none" w:sz="0" w:space="0" w:color="auto"/>
        <w:right w:val="none" w:sz="0" w:space="0" w:color="auto"/>
      </w:divBdr>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 w:id="2115394904">
      <w:bodyDiv w:val="1"/>
      <w:marLeft w:val="0"/>
      <w:marRight w:val="0"/>
      <w:marTop w:val="0"/>
      <w:marBottom w:val="0"/>
      <w:divBdr>
        <w:top w:val="none" w:sz="0" w:space="0" w:color="auto"/>
        <w:left w:val="none" w:sz="0" w:space="0" w:color="auto"/>
        <w:bottom w:val="none" w:sz="0" w:space="0" w:color="auto"/>
        <w:right w:val="none" w:sz="0" w:space="0" w:color="auto"/>
      </w:divBdr>
      <w:divsChild>
        <w:div w:id="792479358">
          <w:marLeft w:val="-225"/>
          <w:marRight w:val="-225"/>
          <w:marTop w:val="0"/>
          <w:marBottom w:val="75"/>
          <w:divBdr>
            <w:top w:val="none" w:sz="0" w:space="0" w:color="auto"/>
            <w:left w:val="none" w:sz="0" w:space="0" w:color="auto"/>
            <w:bottom w:val="none" w:sz="0" w:space="0" w:color="auto"/>
            <w:right w:val="none" w:sz="0" w:space="0" w:color="auto"/>
          </w:divBdr>
          <w:divsChild>
            <w:div w:id="578636706">
              <w:marLeft w:val="0"/>
              <w:marRight w:val="0"/>
              <w:marTop w:val="0"/>
              <w:marBottom w:val="0"/>
              <w:divBdr>
                <w:top w:val="none" w:sz="0" w:space="0" w:color="auto"/>
                <w:left w:val="none" w:sz="0" w:space="0" w:color="auto"/>
                <w:bottom w:val="none" w:sz="0" w:space="0" w:color="auto"/>
                <w:right w:val="none" w:sz="0" w:space="0" w:color="auto"/>
              </w:divBdr>
            </w:div>
          </w:divsChild>
        </w:div>
        <w:div w:id="1819877158">
          <w:marLeft w:val="-225"/>
          <w:marRight w:val="-225"/>
          <w:marTop w:val="0"/>
          <w:marBottom w:val="75"/>
          <w:divBdr>
            <w:top w:val="none" w:sz="0" w:space="0" w:color="auto"/>
            <w:left w:val="none" w:sz="0" w:space="0" w:color="auto"/>
            <w:bottom w:val="none" w:sz="0" w:space="0" w:color="auto"/>
            <w:right w:val="none" w:sz="0" w:space="0" w:color="auto"/>
          </w:divBdr>
          <w:divsChild>
            <w:div w:id="1864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518A6"/>
    <w:rsid w:val="00093FCE"/>
    <w:rsid w:val="000B7C6F"/>
    <w:rsid w:val="000D6360"/>
    <w:rsid w:val="000E35C6"/>
    <w:rsid w:val="00125F2D"/>
    <w:rsid w:val="00165248"/>
    <w:rsid w:val="001A560B"/>
    <w:rsid w:val="002001B7"/>
    <w:rsid w:val="00240B03"/>
    <w:rsid w:val="00264D6C"/>
    <w:rsid w:val="002A7991"/>
    <w:rsid w:val="002F43D7"/>
    <w:rsid w:val="00455003"/>
    <w:rsid w:val="00465CB4"/>
    <w:rsid w:val="004660CD"/>
    <w:rsid w:val="004D022F"/>
    <w:rsid w:val="005058CC"/>
    <w:rsid w:val="005E46BC"/>
    <w:rsid w:val="00622004"/>
    <w:rsid w:val="00675051"/>
    <w:rsid w:val="006977AE"/>
    <w:rsid w:val="006D0555"/>
    <w:rsid w:val="006E3C94"/>
    <w:rsid w:val="00735297"/>
    <w:rsid w:val="0077676B"/>
    <w:rsid w:val="007E5B61"/>
    <w:rsid w:val="0085545C"/>
    <w:rsid w:val="00876B01"/>
    <w:rsid w:val="008E05C2"/>
    <w:rsid w:val="00A974FE"/>
    <w:rsid w:val="00AA0EAB"/>
    <w:rsid w:val="00AA18B5"/>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574BD"/>
    <w:rsid w:val="00F81DAD"/>
    <w:rsid w:val="00F955D9"/>
    <w:rsid w:val="00FB3121"/>
    <w:rsid w:val="00FD3C55"/>
    <w:rsid w:val="00FF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Deborah Howard</cp:lastModifiedBy>
  <cp:revision>9</cp:revision>
  <dcterms:created xsi:type="dcterms:W3CDTF">2020-09-17T21:12:00Z</dcterms:created>
  <dcterms:modified xsi:type="dcterms:W3CDTF">2020-10-05T16:09:00Z</dcterms:modified>
</cp:coreProperties>
</file>