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6" w:type="dxa"/>
        <w:tblLook w:val="01E0" w:firstRow="1" w:lastRow="1" w:firstColumn="1" w:lastColumn="1" w:noHBand="0" w:noVBand="0"/>
      </w:tblPr>
      <w:tblGrid>
        <w:gridCol w:w="3228"/>
        <w:gridCol w:w="6588"/>
      </w:tblGrid>
      <w:tr w:rsidR="00087625">
        <w:tc>
          <w:tcPr>
            <w:tcW w:w="3228" w:type="dxa"/>
          </w:tcPr>
          <w:p w:rsidR="00087625" w:rsidRDefault="00087625" w:rsidP="001077CA">
            <w:pPr>
              <w:jc w:val="both"/>
              <w:rPr>
                <w:b/>
                <w:bCs/>
              </w:rPr>
            </w:pPr>
            <w:bookmarkStart w:id="0" w:name="_GoBack"/>
            <w:bookmarkEnd w:id="0"/>
            <w:r>
              <w:rPr>
                <w:b/>
                <w:bCs/>
              </w:rPr>
              <w:t>Procedure Title:</w:t>
            </w:r>
          </w:p>
          <w:p w:rsidR="00087625" w:rsidRDefault="00087625" w:rsidP="001077CA">
            <w:pPr>
              <w:jc w:val="both"/>
              <w:rPr>
                <w:b/>
                <w:bCs/>
              </w:rPr>
            </w:pPr>
            <w:r>
              <w:rPr>
                <w:b/>
                <w:bCs/>
              </w:rPr>
              <w:t>Procedure Number:</w:t>
            </w:r>
          </w:p>
          <w:p w:rsidR="00087625" w:rsidRDefault="00087625" w:rsidP="001077CA">
            <w:pPr>
              <w:jc w:val="both"/>
              <w:rPr>
                <w:b/>
                <w:bCs/>
              </w:rPr>
            </w:pPr>
            <w:r>
              <w:rPr>
                <w:b/>
                <w:bCs/>
              </w:rPr>
              <w:t>Originating Department:</w:t>
            </w:r>
          </w:p>
        </w:tc>
        <w:tc>
          <w:tcPr>
            <w:tcW w:w="6588" w:type="dxa"/>
          </w:tcPr>
          <w:p w:rsidR="00087625" w:rsidRDefault="00087625" w:rsidP="001077CA">
            <w:pPr>
              <w:jc w:val="both"/>
              <w:rPr>
                <w:bCs/>
              </w:rPr>
            </w:pPr>
            <w:r>
              <w:t>Salary Administration</w:t>
            </w:r>
          </w:p>
          <w:p w:rsidR="00087625" w:rsidRDefault="00087625" w:rsidP="001077CA">
            <w:pPr>
              <w:jc w:val="both"/>
            </w:pPr>
            <w:r>
              <w:t>05-0401</w:t>
            </w:r>
          </w:p>
          <w:p w:rsidR="00087625" w:rsidRDefault="00087625" w:rsidP="001077CA">
            <w:pPr>
              <w:jc w:val="both"/>
              <w:rPr>
                <w:bCs/>
              </w:rPr>
            </w:pPr>
            <w:r>
              <w:t>Office of Human Resources</w:t>
            </w:r>
          </w:p>
        </w:tc>
      </w:tr>
      <w:tr w:rsidR="00087625">
        <w:tc>
          <w:tcPr>
            <w:tcW w:w="3228" w:type="dxa"/>
          </w:tcPr>
          <w:p w:rsidR="00087625" w:rsidRDefault="00087625" w:rsidP="001077CA">
            <w:pPr>
              <w:jc w:val="both"/>
              <w:rPr>
                <w:b/>
                <w:bCs/>
                <w:u w:val="single"/>
              </w:rPr>
            </w:pPr>
          </w:p>
          <w:p w:rsidR="00087625" w:rsidRDefault="00087625" w:rsidP="001077CA">
            <w:pPr>
              <w:jc w:val="both"/>
              <w:rPr>
                <w:bCs/>
              </w:rPr>
            </w:pPr>
            <w:r>
              <w:rPr>
                <w:b/>
                <w:bCs/>
                <w:u w:val="single"/>
              </w:rPr>
              <w:t>Specific Authority</w:t>
            </w:r>
            <w:r>
              <w:rPr>
                <w:b/>
                <w:bCs/>
              </w:rPr>
              <w:t>:</w:t>
            </w:r>
            <w:r>
              <w:rPr>
                <w:bCs/>
              </w:rPr>
              <w:t xml:space="preserve"> </w:t>
            </w:r>
          </w:p>
          <w:p w:rsidR="00087625" w:rsidRDefault="00087625" w:rsidP="001077CA">
            <w:pPr>
              <w:jc w:val="both"/>
              <w:rPr>
                <w:bCs/>
              </w:rPr>
            </w:pPr>
            <w:r>
              <w:rPr>
                <w:bCs/>
              </w:rPr>
              <w:t xml:space="preserve">Board Policy </w:t>
            </w:r>
          </w:p>
          <w:p w:rsidR="00087625" w:rsidRDefault="00087625" w:rsidP="001077CA">
            <w:pPr>
              <w:jc w:val="both"/>
              <w:rPr>
                <w:bCs/>
              </w:rPr>
            </w:pPr>
            <w:smartTag w:uri="urn:schemas-microsoft-com:office:smarttags" w:element="State">
              <w:smartTag w:uri="urn:schemas-microsoft-com:office:smarttags" w:element="place">
                <w:r>
                  <w:rPr>
                    <w:bCs/>
                  </w:rPr>
                  <w:t>Florida</w:t>
                </w:r>
              </w:smartTag>
            </w:smartTag>
            <w:r>
              <w:rPr>
                <w:bCs/>
              </w:rPr>
              <w:t xml:space="preserve"> Statute </w:t>
            </w:r>
          </w:p>
          <w:p w:rsidR="00087625" w:rsidRDefault="00087625" w:rsidP="001077CA">
            <w:pPr>
              <w:jc w:val="both"/>
              <w:rPr>
                <w:bCs/>
              </w:rPr>
            </w:pPr>
            <w:smartTag w:uri="urn:schemas-microsoft-com:office:smarttags" w:element="State">
              <w:smartTag w:uri="urn:schemas-microsoft-com:office:smarttags" w:element="place">
                <w:r>
                  <w:rPr>
                    <w:bCs/>
                  </w:rPr>
                  <w:t>Florida</w:t>
                </w:r>
              </w:smartTag>
            </w:smartTag>
            <w:r>
              <w:rPr>
                <w:bCs/>
              </w:rPr>
              <w:t xml:space="preserve"> Administrative Code</w:t>
            </w:r>
          </w:p>
          <w:p w:rsidR="00087625" w:rsidRDefault="00087625" w:rsidP="001077CA">
            <w:pPr>
              <w:jc w:val="both"/>
              <w:rPr>
                <w:bCs/>
              </w:rPr>
            </w:pPr>
          </w:p>
          <w:p w:rsidR="00087625" w:rsidRDefault="00087625" w:rsidP="001077CA">
            <w:pPr>
              <w:jc w:val="both"/>
              <w:rPr>
                <w:b/>
                <w:bCs/>
              </w:rPr>
            </w:pPr>
            <w:r>
              <w:rPr>
                <w:b/>
                <w:bCs/>
              </w:rPr>
              <w:t>Procedure Actions:</w:t>
            </w:r>
            <w:r>
              <w:rPr>
                <w:bCs/>
              </w:rPr>
              <w:tab/>
            </w:r>
          </w:p>
          <w:p w:rsidR="00087625" w:rsidRDefault="00087625" w:rsidP="001077CA">
            <w:pPr>
              <w:jc w:val="both"/>
              <w:rPr>
                <w:b/>
                <w:bCs/>
              </w:rPr>
            </w:pPr>
          </w:p>
          <w:p w:rsidR="0029620F" w:rsidRDefault="0029620F" w:rsidP="001077CA">
            <w:pPr>
              <w:jc w:val="both"/>
              <w:rPr>
                <w:b/>
                <w:bCs/>
              </w:rPr>
            </w:pPr>
          </w:p>
          <w:p w:rsidR="00087625" w:rsidRDefault="00087625" w:rsidP="001077CA">
            <w:pPr>
              <w:jc w:val="both"/>
              <w:rPr>
                <w:b/>
                <w:bCs/>
              </w:rPr>
            </w:pPr>
            <w:r>
              <w:rPr>
                <w:b/>
                <w:bCs/>
              </w:rPr>
              <w:t>Purpose Statement</w:t>
            </w:r>
            <w:r>
              <w:rPr>
                <w:bCs/>
              </w:rPr>
              <w:t>:</w:t>
            </w:r>
          </w:p>
        </w:tc>
        <w:tc>
          <w:tcPr>
            <w:tcW w:w="6588" w:type="dxa"/>
          </w:tcPr>
          <w:p w:rsidR="00087625" w:rsidRDefault="00087625" w:rsidP="001077CA">
            <w:pPr>
              <w:jc w:val="both"/>
              <w:rPr>
                <w:bCs/>
              </w:rPr>
            </w:pPr>
          </w:p>
          <w:p w:rsidR="00087625" w:rsidRDefault="00087625" w:rsidP="001077CA">
            <w:pPr>
              <w:jc w:val="both"/>
            </w:pPr>
          </w:p>
          <w:p w:rsidR="00087625" w:rsidRDefault="00087625" w:rsidP="001077CA">
            <w:pPr>
              <w:jc w:val="both"/>
            </w:pPr>
            <w:r>
              <w:t>6Hx6:5.02</w:t>
            </w:r>
          </w:p>
          <w:p w:rsidR="00087625" w:rsidRDefault="00087625" w:rsidP="001077CA">
            <w:pPr>
              <w:jc w:val="both"/>
            </w:pPr>
            <w:r>
              <w:t>1012.855-875</w:t>
            </w:r>
          </w:p>
          <w:p w:rsidR="00087625" w:rsidRDefault="00087625" w:rsidP="001077CA">
            <w:pPr>
              <w:jc w:val="both"/>
              <w:rPr>
                <w:bCs/>
              </w:rPr>
            </w:pPr>
          </w:p>
          <w:p w:rsidR="00087625" w:rsidRDefault="00087625" w:rsidP="001077CA">
            <w:pPr>
              <w:jc w:val="both"/>
              <w:rPr>
                <w:bCs/>
              </w:rPr>
            </w:pPr>
          </w:p>
          <w:p w:rsidR="00087625" w:rsidRDefault="00087625" w:rsidP="001077CA">
            <w:pPr>
              <w:pStyle w:val="PlainText"/>
              <w:jc w:val="both"/>
              <w:rPr>
                <w:rFonts w:ascii="Times New Roman" w:hAnsi="Times New Roman"/>
                <w:sz w:val="24"/>
                <w:szCs w:val="24"/>
              </w:rPr>
            </w:pPr>
            <w:r>
              <w:rPr>
                <w:rFonts w:ascii="Times New Roman" w:hAnsi="Times New Roman"/>
                <w:bCs/>
                <w:sz w:val="24"/>
                <w:szCs w:val="24"/>
              </w:rPr>
              <w:t xml:space="preserve">Adopted: </w:t>
            </w:r>
            <w:r>
              <w:rPr>
                <w:rFonts w:ascii="Times New Roman" w:hAnsi="Times New Roman"/>
                <w:sz w:val="24"/>
                <w:szCs w:val="24"/>
              </w:rPr>
              <w:t>11/21/96</w:t>
            </w:r>
            <w:r>
              <w:rPr>
                <w:rFonts w:ascii="Times New Roman" w:hAnsi="Times New Roman"/>
                <w:bCs/>
                <w:sz w:val="24"/>
                <w:szCs w:val="24"/>
              </w:rPr>
              <w:t xml:space="preserve">; </w:t>
            </w:r>
            <w:r>
              <w:rPr>
                <w:rFonts w:ascii="Times New Roman" w:hAnsi="Times New Roman"/>
                <w:sz w:val="24"/>
                <w:szCs w:val="24"/>
              </w:rPr>
              <w:t>7/1/00; 11/3/04; 12/2/08; 1/15/10</w:t>
            </w:r>
            <w:r w:rsidR="005328E7">
              <w:rPr>
                <w:rFonts w:ascii="Times New Roman" w:hAnsi="Times New Roman"/>
                <w:sz w:val="24"/>
                <w:szCs w:val="24"/>
              </w:rPr>
              <w:t>; 7/15/10</w:t>
            </w:r>
            <w:r w:rsidR="00867B7F">
              <w:rPr>
                <w:rFonts w:ascii="Times New Roman" w:hAnsi="Times New Roman"/>
                <w:sz w:val="24"/>
                <w:szCs w:val="24"/>
              </w:rPr>
              <w:t>; 11/01/10</w:t>
            </w:r>
            <w:r w:rsidR="002B193B">
              <w:rPr>
                <w:rFonts w:ascii="Times New Roman" w:hAnsi="Times New Roman"/>
                <w:sz w:val="24"/>
                <w:szCs w:val="24"/>
              </w:rPr>
              <w:t xml:space="preserve">; </w:t>
            </w:r>
            <w:r w:rsidR="002B193B" w:rsidRPr="002B193B">
              <w:rPr>
                <w:rFonts w:ascii="Times New Roman" w:hAnsi="Times New Roman"/>
                <w:color w:val="FF0000"/>
                <w:sz w:val="24"/>
                <w:szCs w:val="24"/>
                <w:highlight w:val="yellow"/>
              </w:rPr>
              <w:t>12/XX/2019.</w:t>
            </w:r>
          </w:p>
          <w:p w:rsidR="00087625" w:rsidRDefault="00087625" w:rsidP="001077CA">
            <w:pPr>
              <w:jc w:val="both"/>
            </w:pPr>
          </w:p>
          <w:p w:rsidR="00087625" w:rsidRDefault="00087625" w:rsidP="001077CA">
            <w:pPr>
              <w:jc w:val="both"/>
              <w:rPr>
                <w:b/>
                <w:bCs/>
              </w:rPr>
            </w:pPr>
            <w:r>
              <w:t>In support of the District Board of Trustees established Compensation Philosophy, procedure implements the administration of salary to College employees.</w:t>
            </w:r>
          </w:p>
        </w:tc>
      </w:tr>
    </w:tbl>
    <w:p w:rsidR="00087625" w:rsidRDefault="005A7499" w:rsidP="001077CA">
      <w:pPr>
        <w:jc w:val="both"/>
        <w:rPr>
          <w:bCs/>
        </w:rPr>
      </w:pPr>
      <w:r>
        <w:rPr>
          <w:bCs/>
          <w:noProof/>
        </w:rPr>
        <mc:AlternateContent>
          <mc:Choice Requires="wps">
            <w:drawing>
              <wp:anchor distT="0" distB="0" distL="114300" distR="114300" simplePos="0" relativeHeight="251657728" behindDoc="0" locked="0" layoutInCell="1" allowOverlap="1" wp14:anchorId="46660ADD" wp14:editId="53BB89B7">
                <wp:simplePos x="0" y="0"/>
                <wp:positionH relativeFrom="column">
                  <wp:posOffset>-76200</wp:posOffset>
                </wp:positionH>
                <wp:positionV relativeFrom="paragraph">
                  <wp:posOffset>114300</wp:posOffset>
                </wp:positionV>
                <wp:extent cx="6248400" cy="0"/>
                <wp:effectExtent l="9525" t="9525" r="9525" b="952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DF759B"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kJ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"/>
            </w:pict>
          </mc:Fallback>
        </mc:AlternateContent>
      </w:r>
      <w:r w:rsidR="00087625">
        <w:rPr>
          <w:bCs/>
        </w:rPr>
        <w:tab/>
      </w:r>
      <w:r w:rsidR="00087625">
        <w:rPr>
          <w:bCs/>
        </w:rPr>
        <w:tab/>
      </w:r>
    </w:p>
    <w:p w:rsidR="00087625" w:rsidRDefault="00087625" w:rsidP="001077CA">
      <w:pPr>
        <w:jc w:val="both"/>
        <w:rPr>
          <w:b/>
          <w:bCs/>
        </w:rPr>
      </w:pPr>
    </w:p>
    <w:p w:rsidR="00087625" w:rsidRDefault="00087625" w:rsidP="001077CA">
      <w:pPr>
        <w:tabs>
          <w:tab w:val="left" w:pos="3120"/>
        </w:tabs>
        <w:jc w:val="both"/>
        <w:rPr>
          <w:b/>
          <w:bCs/>
        </w:rPr>
      </w:pPr>
      <w:r>
        <w:rPr>
          <w:b/>
          <w:bCs/>
        </w:rPr>
        <w:t>Guidelines:</w:t>
      </w:r>
    </w:p>
    <w:p w:rsidR="00087625" w:rsidRDefault="00087625" w:rsidP="001077CA">
      <w:pPr>
        <w:jc w:val="both"/>
      </w:pPr>
    </w:p>
    <w:p w:rsidR="00087625" w:rsidRDefault="00087625" w:rsidP="001077CA">
      <w:pPr>
        <w:pStyle w:val="Default"/>
        <w:jc w:val="both"/>
        <w:rPr>
          <w:rFonts w:ascii="Times New Roman" w:hAnsi="Times New Roman" w:cs="Times New Roman"/>
          <w:color w:val="auto"/>
        </w:rPr>
      </w:pPr>
      <w:r>
        <w:rPr>
          <w:rFonts w:ascii="Times New Roman" w:hAnsi="Times New Roman" w:cs="Times New Roman"/>
        </w:rPr>
        <w:t xml:space="preserve">The College promotes compensation practices that are nondiscriminatory and consistent with the District Board of Trustees Compensation Philosophy adopted on </w:t>
      </w:r>
      <w:r w:rsidRPr="00A158A1">
        <w:rPr>
          <w:rFonts w:ascii="Times New Roman" w:hAnsi="Times New Roman" w:cs="Times New Roman"/>
        </w:rPr>
        <w:t xml:space="preserve">April 22, 2008.  </w:t>
      </w:r>
      <w:r w:rsidRPr="00560DEC">
        <w:rPr>
          <w:rFonts w:ascii="Times New Roman" w:hAnsi="Times New Roman" w:cs="Times New Roman"/>
        </w:rPr>
        <w:t>All</w:t>
      </w:r>
      <w:r w:rsidRPr="00A158A1">
        <w:rPr>
          <w:rFonts w:ascii="Times New Roman" w:hAnsi="Times New Roman" w:cs="Times New Roman"/>
        </w:rPr>
        <w:t xml:space="preserve"> policy</w:t>
      </w:r>
      <w:r>
        <w:rPr>
          <w:rFonts w:ascii="Times New Roman" w:hAnsi="Times New Roman" w:cs="Times New Roman"/>
        </w:rPr>
        <w:t xml:space="preserve"> decisions regarding compensation </w:t>
      </w:r>
      <w:r w:rsidR="004064B9">
        <w:rPr>
          <w:rFonts w:ascii="Times New Roman" w:hAnsi="Times New Roman" w:cs="Times New Roman"/>
        </w:rPr>
        <w:t xml:space="preserve">should </w:t>
      </w:r>
      <w:r>
        <w:rPr>
          <w:rFonts w:ascii="Times New Roman" w:hAnsi="Times New Roman" w:cs="Times New Roman"/>
        </w:rPr>
        <w:t xml:space="preserve">take into consideration the College’s overall economic condition and competitive position. The College will pay employees on a regular basis and in a manner so that the amount, method, and timing of such payments comply with applicable laws or regulations. </w:t>
      </w:r>
      <w:r>
        <w:rPr>
          <w:rFonts w:ascii="Times New Roman" w:hAnsi="Times New Roman" w:cs="Times New Roman"/>
          <w:color w:val="auto"/>
        </w:rPr>
        <w:t xml:space="preserve">The President or </w:t>
      </w:r>
      <w:r w:rsidR="007C440E">
        <w:rPr>
          <w:rFonts w:ascii="Times New Roman" w:hAnsi="Times New Roman" w:cs="Times New Roman"/>
          <w:color w:val="auto"/>
        </w:rPr>
        <w:t>designee</w:t>
      </w:r>
      <w:r>
        <w:rPr>
          <w:rFonts w:ascii="Times New Roman" w:hAnsi="Times New Roman" w:cs="Times New Roman"/>
          <w:color w:val="auto"/>
        </w:rPr>
        <w:t xml:space="preserve"> may waive any provisions within this procedure. </w:t>
      </w:r>
    </w:p>
    <w:p w:rsidR="00087625" w:rsidRDefault="00087625" w:rsidP="001077CA">
      <w:pPr>
        <w:pStyle w:val="PlainText"/>
        <w:jc w:val="both"/>
        <w:rPr>
          <w:rFonts w:ascii="Times New Roman" w:hAnsi="Times New Roman"/>
          <w:b/>
          <w:sz w:val="24"/>
        </w:rPr>
      </w:pPr>
    </w:p>
    <w:p w:rsidR="00087625" w:rsidRDefault="00087625" w:rsidP="001077CA">
      <w:pPr>
        <w:pStyle w:val="PlainText"/>
        <w:jc w:val="both"/>
        <w:rPr>
          <w:rFonts w:ascii="Times New Roman" w:hAnsi="Times New Roman"/>
          <w:sz w:val="24"/>
          <w:u w:val="single"/>
        </w:rPr>
      </w:pPr>
      <w:r>
        <w:rPr>
          <w:rFonts w:ascii="Times New Roman" w:hAnsi="Times New Roman"/>
          <w:b/>
          <w:sz w:val="24"/>
          <w:u w:val="single"/>
        </w:rPr>
        <w:t>Compensation Principles</w:t>
      </w:r>
    </w:p>
    <w:p w:rsidR="00087625" w:rsidRDefault="00087625" w:rsidP="001077CA">
      <w:pPr>
        <w:pStyle w:val="PlainText"/>
        <w:jc w:val="both"/>
        <w:rPr>
          <w:rFonts w:ascii="Times New Roman" w:hAnsi="Times New Roman"/>
          <w:sz w:val="24"/>
        </w:rPr>
      </w:pPr>
    </w:p>
    <w:p w:rsidR="00087625" w:rsidRDefault="005A7499" w:rsidP="001077CA">
      <w:pPr>
        <w:pStyle w:val="PlainText"/>
        <w:jc w:val="both"/>
        <w:rPr>
          <w:rFonts w:ascii="Times New Roman" w:hAnsi="Times New Roman"/>
          <w:sz w:val="24"/>
        </w:rPr>
      </w:pPr>
      <w:r>
        <w:rPr>
          <w:rFonts w:ascii="Times New Roman" w:hAnsi="Times New Roman"/>
          <w:sz w:val="24"/>
        </w:rPr>
        <w:t>Florida SouthWestern</w:t>
      </w:r>
      <w:r w:rsidR="00087625">
        <w:rPr>
          <w:rFonts w:ascii="Times New Roman" w:hAnsi="Times New Roman"/>
          <w:sz w:val="24"/>
        </w:rPr>
        <w:t xml:space="preserve"> State College’s primary compensation goal is to foster an environment which encourages individual and group performance to achieve College objectives. The College’s pay practices are designed to be externally competitive, internally equitable, and fiscally responsible.</w:t>
      </w:r>
    </w:p>
    <w:p w:rsidR="00087625" w:rsidRDefault="00087625" w:rsidP="001077CA">
      <w:pPr>
        <w:pStyle w:val="PlainText"/>
        <w:jc w:val="both"/>
        <w:rPr>
          <w:rFonts w:ascii="Times New Roman" w:hAnsi="Times New Roman"/>
          <w:sz w:val="24"/>
        </w:rPr>
      </w:pPr>
    </w:p>
    <w:p w:rsidR="00087625" w:rsidRDefault="00087625" w:rsidP="001077CA">
      <w:pPr>
        <w:pStyle w:val="PlainText"/>
        <w:jc w:val="both"/>
        <w:rPr>
          <w:rFonts w:ascii="Times New Roman" w:hAnsi="Times New Roman"/>
          <w:sz w:val="24"/>
        </w:rPr>
      </w:pPr>
      <w:r>
        <w:rPr>
          <w:rFonts w:ascii="Times New Roman" w:hAnsi="Times New Roman"/>
          <w:sz w:val="24"/>
        </w:rPr>
        <w:t>It is the College’s practice to:</w:t>
      </w:r>
    </w:p>
    <w:p w:rsidR="00087625" w:rsidRDefault="00087625" w:rsidP="001077CA">
      <w:pPr>
        <w:pStyle w:val="PlainText"/>
        <w:numPr>
          <w:ilvl w:val="0"/>
          <w:numId w:val="17"/>
        </w:numPr>
        <w:jc w:val="both"/>
        <w:rPr>
          <w:rFonts w:ascii="Times New Roman" w:hAnsi="Times New Roman"/>
          <w:sz w:val="24"/>
        </w:rPr>
      </w:pPr>
      <w:r>
        <w:rPr>
          <w:rFonts w:ascii="Times New Roman" w:hAnsi="Times New Roman"/>
          <w:sz w:val="24"/>
        </w:rPr>
        <w:t>Compensate executives and faculty at the top tier level, and staff at a level that is competitive and equitable in relation to the work performed;</w:t>
      </w:r>
    </w:p>
    <w:p w:rsidR="00087625" w:rsidRDefault="00087625" w:rsidP="001077CA">
      <w:pPr>
        <w:pStyle w:val="PlainText"/>
        <w:numPr>
          <w:ilvl w:val="0"/>
          <w:numId w:val="17"/>
        </w:numPr>
        <w:jc w:val="both"/>
        <w:rPr>
          <w:rFonts w:ascii="Times New Roman" w:hAnsi="Times New Roman"/>
          <w:sz w:val="24"/>
        </w:rPr>
      </w:pPr>
      <w:r>
        <w:rPr>
          <w:rFonts w:ascii="Times New Roman" w:hAnsi="Times New Roman"/>
          <w:sz w:val="24"/>
        </w:rPr>
        <w:t xml:space="preserve">Provide fair and consistent administration of wages and salaries; </w:t>
      </w:r>
    </w:p>
    <w:p w:rsidR="00087625" w:rsidRDefault="00087625" w:rsidP="001077CA">
      <w:pPr>
        <w:pStyle w:val="PlainText"/>
        <w:numPr>
          <w:ilvl w:val="0"/>
          <w:numId w:val="17"/>
        </w:numPr>
        <w:jc w:val="both"/>
        <w:rPr>
          <w:rFonts w:ascii="Times New Roman" w:hAnsi="Times New Roman"/>
          <w:sz w:val="24"/>
        </w:rPr>
      </w:pPr>
      <w:r>
        <w:rPr>
          <w:rFonts w:ascii="Times New Roman" w:hAnsi="Times New Roman"/>
          <w:sz w:val="24"/>
        </w:rPr>
        <w:t xml:space="preserve">Determine and maintain rates of pay that are competitive with the market; </w:t>
      </w:r>
    </w:p>
    <w:p w:rsidR="00087625" w:rsidRDefault="00087625" w:rsidP="001077CA">
      <w:pPr>
        <w:pStyle w:val="PlainText"/>
        <w:numPr>
          <w:ilvl w:val="0"/>
          <w:numId w:val="17"/>
        </w:numPr>
        <w:jc w:val="both"/>
        <w:rPr>
          <w:rFonts w:ascii="Times New Roman" w:hAnsi="Times New Roman"/>
          <w:sz w:val="24"/>
        </w:rPr>
      </w:pPr>
      <w:r>
        <w:rPr>
          <w:rFonts w:ascii="Times New Roman" w:hAnsi="Times New Roman"/>
          <w:sz w:val="24"/>
        </w:rPr>
        <w:t xml:space="preserve">Evaluate and determine levels for positions relative to comparable internal positions and external market information; and </w:t>
      </w:r>
    </w:p>
    <w:p w:rsidR="00087625" w:rsidRDefault="00087625" w:rsidP="001077CA">
      <w:pPr>
        <w:pStyle w:val="PlainText"/>
        <w:numPr>
          <w:ilvl w:val="0"/>
          <w:numId w:val="17"/>
        </w:numPr>
        <w:jc w:val="both"/>
        <w:rPr>
          <w:rFonts w:ascii="Times New Roman" w:hAnsi="Times New Roman"/>
          <w:sz w:val="24"/>
        </w:rPr>
      </w:pPr>
      <w:r>
        <w:rPr>
          <w:rFonts w:ascii="Times New Roman" w:hAnsi="Times New Roman"/>
          <w:sz w:val="24"/>
        </w:rPr>
        <w:t>Establish guidelines for budget planning.</w:t>
      </w:r>
    </w:p>
    <w:p w:rsidR="00087625" w:rsidRDefault="00087625" w:rsidP="001077CA">
      <w:pPr>
        <w:pStyle w:val="PlainText"/>
        <w:ind w:left="360"/>
        <w:jc w:val="both"/>
        <w:rPr>
          <w:rFonts w:ascii="Times New Roman" w:hAnsi="Times New Roman"/>
          <w:sz w:val="24"/>
        </w:rPr>
      </w:pPr>
    </w:p>
    <w:p w:rsidR="00A158A1" w:rsidRDefault="00087625" w:rsidP="001077CA">
      <w:pPr>
        <w:pStyle w:val="PlainText"/>
        <w:jc w:val="both"/>
        <w:rPr>
          <w:rFonts w:ascii="Times New Roman" w:hAnsi="Times New Roman"/>
          <w:sz w:val="24"/>
        </w:rPr>
      </w:pPr>
      <w:r>
        <w:rPr>
          <w:rFonts w:ascii="Times New Roman" w:hAnsi="Times New Roman"/>
          <w:sz w:val="24"/>
        </w:rPr>
        <w:t>Executive positions are compensated commensurate with the responsibilities of the position, qualifications of the incumbent in relation to market compensation levels for similar positions.</w:t>
      </w:r>
    </w:p>
    <w:p w:rsidR="00087625" w:rsidRDefault="00087625" w:rsidP="001077CA">
      <w:pPr>
        <w:pStyle w:val="PlainText"/>
        <w:jc w:val="both"/>
        <w:rPr>
          <w:rFonts w:ascii="Times New Roman" w:hAnsi="Times New Roman"/>
          <w:sz w:val="24"/>
        </w:rPr>
      </w:pPr>
      <w:r>
        <w:rPr>
          <w:rFonts w:ascii="Times New Roman" w:hAnsi="Times New Roman"/>
          <w:sz w:val="24"/>
        </w:rPr>
        <w:lastRenderedPageBreak/>
        <w:t xml:space="preserve">Administrative and staff positions must be paid at least the published minimum salary for job classification and/or the pay grade.  Faculty compensation is determined by the provisions of the Collective Negotiations Agreement. </w:t>
      </w:r>
    </w:p>
    <w:p w:rsidR="00087625" w:rsidRDefault="00087625" w:rsidP="001077CA">
      <w:pPr>
        <w:pStyle w:val="PlainText"/>
        <w:jc w:val="both"/>
        <w:rPr>
          <w:rFonts w:ascii="Times New Roman" w:hAnsi="Times New Roman"/>
          <w:sz w:val="24"/>
        </w:rPr>
      </w:pPr>
    </w:p>
    <w:p w:rsidR="00087625" w:rsidRDefault="00087625" w:rsidP="001077CA">
      <w:pPr>
        <w:pStyle w:val="PlainText"/>
        <w:jc w:val="both"/>
        <w:rPr>
          <w:rFonts w:ascii="Times New Roman" w:hAnsi="Times New Roman"/>
          <w:sz w:val="24"/>
        </w:rPr>
      </w:pPr>
      <w:r>
        <w:rPr>
          <w:rFonts w:ascii="Times New Roman" w:hAnsi="Times New Roman"/>
          <w:sz w:val="24"/>
        </w:rPr>
        <w:t>Salary for hiring, promotion, or demotion will be established consistent with the following factors.</w:t>
      </w:r>
    </w:p>
    <w:p w:rsidR="00087625" w:rsidRPr="00560DEC" w:rsidRDefault="00087625" w:rsidP="001077CA">
      <w:pPr>
        <w:pStyle w:val="PlainText"/>
        <w:numPr>
          <w:ilvl w:val="0"/>
          <w:numId w:val="16"/>
        </w:numPr>
        <w:tabs>
          <w:tab w:val="clear" w:pos="360"/>
        </w:tabs>
        <w:ind w:left="720"/>
        <w:jc w:val="both"/>
        <w:rPr>
          <w:rFonts w:ascii="Times New Roman" w:hAnsi="Times New Roman"/>
          <w:sz w:val="24"/>
        </w:rPr>
      </w:pPr>
      <w:r w:rsidRPr="00560DEC">
        <w:rPr>
          <w:rFonts w:ascii="Times New Roman" w:hAnsi="Times New Roman"/>
          <w:sz w:val="24"/>
        </w:rPr>
        <w:t>Individual credentials and experience will be compared to those in similar positions in the College and relevant competitive market.</w:t>
      </w:r>
    </w:p>
    <w:p w:rsidR="00087625" w:rsidRPr="00560DEC" w:rsidRDefault="00087625" w:rsidP="001077CA">
      <w:pPr>
        <w:pStyle w:val="PlainText"/>
        <w:numPr>
          <w:ilvl w:val="0"/>
          <w:numId w:val="16"/>
        </w:numPr>
        <w:tabs>
          <w:tab w:val="clear" w:pos="360"/>
        </w:tabs>
        <w:ind w:left="720"/>
        <w:jc w:val="both"/>
        <w:rPr>
          <w:rFonts w:ascii="Times New Roman" w:hAnsi="Times New Roman"/>
          <w:sz w:val="24"/>
        </w:rPr>
      </w:pPr>
      <w:r w:rsidRPr="00560DEC">
        <w:rPr>
          <w:rFonts w:ascii="Times New Roman" w:hAnsi="Times New Roman"/>
          <w:sz w:val="24"/>
        </w:rPr>
        <w:t>The individual’s expected level of performance.</w:t>
      </w:r>
    </w:p>
    <w:p w:rsidR="00087625" w:rsidRPr="00912C64" w:rsidRDefault="00087625" w:rsidP="001077CA">
      <w:pPr>
        <w:pStyle w:val="PlainText"/>
        <w:numPr>
          <w:ilvl w:val="0"/>
          <w:numId w:val="16"/>
        </w:numPr>
        <w:tabs>
          <w:tab w:val="clear" w:pos="360"/>
        </w:tabs>
        <w:ind w:left="720"/>
        <w:jc w:val="both"/>
        <w:rPr>
          <w:rFonts w:ascii="Times New Roman" w:hAnsi="Times New Roman"/>
          <w:sz w:val="24"/>
        </w:rPr>
      </w:pPr>
      <w:r w:rsidRPr="00912C64">
        <w:rPr>
          <w:rFonts w:ascii="Times New Roman" w:hAnsi="Times New Roman"/>
          <w:sz w:val="24"/>
        </w:rPr>
        <w:t>The available budget of the employing department.</w:t>
      </w:r>
    </w:p>
    <w:p w:rsidR="00087625" w:rsidRDefault="00087625" w:rsidP="001077CA">
      <w:pPr>
        <w:pStyle w:val="PlainText"/>
        <w:jc w:val="both"/>
        <w:rPr>
          <w:rFonts w:ascii="Times New Roman" w:hAnsi="Times New Roman"/>
          <w:b/>
          <w:sz w:val="24"/>
        </w:rPr>
      </w:pPr>
    </w:p>
    <w:p w:rsidR="00087625" w:rsidRDefault="00087625" w:rsidP="001077CA">
      <w:pPr>
        <w:autoSpaceDE w:val="0"/>
        <w:autoSpaceDN w:val="0"/>
        <w:adjustRightInd w:val="0"/>
        <w:jc w:val="both"/>
        <w:rPr>
          <w:rFonts w:cs="Arial"/>
          <w:b/>
          <w:color w:val="000000"/>
          <w:u w:val="single"/>
        </w:rPr>
      </w:pPr>
      <w:r>
        <w:rPr>
          <w:rFonts w:cs="Arial"/>
          <w:b/>
          <w:color w:val="000000"/>
          <w:u w:val="single"/>
        </w:rPr>
        <w:t>Compensation Schedule</w:t>
      </w:r>
    </w:p>
    <w:p w:rsidR="00087625" w:rsidRDefault="00087625" w:rsidP="001077CA">
      <w:pPr>
        <w:autoSpaceDE w:val="0"/>
        <w:autoSpaceDN w:val="0"/>
        <w:adjustRightInd w:val="0"/>
        <w:jc w:val="both"/>
        <w:rPr>
          <w:rFonts w:cs="Arial"/>
          <w:color w:val="000000"/>
        </w:rPr>
      </w:pPr>
    </w:p>
    <w:p w:rsidR="00087625" w:rsidRDefault="00087625" w:rsidP="001077CA">
      <w:pPr>
        <w:autoSpaceDE w:val="0"/>
        <w:autoSpaceDN w:val="0"/>
        <w:adjustRightInd w:val="0"/>
        <w:jc w:val="both"/>
      </w:pPr>
      <w:r>
        <w:rPr>
          <w:rFonts w:cs="Arial"/>
          <w:color w:val="000000"/>
        </w:rPr>
        <w:t>As part of the annual budget approval process, the College President will recommend the compensation schedule for all employees to the District Board of Trustees. The schedule, as approved by the Board, will be used in determining the annual, monthly, weekly, daily, or hourly compensation of College employees. The schedule also includes the College’s compensation philosophy set forth and approved by the Board.</w:t>
      </w:r>
    </w:p>
    <w:p w:rsidR="00087625" w:rsidRDefault="00087625" w:rsidP="001077CA">
      <w:pPr>
        <w:autoSpaceDE w:val="0"/>
        <w:autoSpaceDN w:val="0"/>
        <w:adjustRightInd w:val="0"/>
        <w:jc w:val="both"/>
        <w:rPr>
          <w:color w:val="000000"/>
        </w:rPr>
      </w:pPr>
    </w:p>
    <w:p w:rsidR="00087625" w:rsidRDefault="00087625" w:rsidP="001077CA">
      <w:pPr>
        <w:autoSpaceDE w:val="0"/>
        <w:autoSpaceDN w:val="0"/>
        <w:adjustRightInd w:val="0"/>
        <w:jc w:val="both"/>
      </w:pPr>
      <w:r>
        <w:t>Additional full</w:t>
      </w:r>
      <w:r>
        <w:rPr>
          <w:rFonts w:ascii="Calibri" w:hAnsi="Calibri"/>
        </w:rPr>
        <w:t>‐</w:t>
      </w:r>
      <w:r>
        <w:t>time and part</w:t>
      </w:r>
      <w:r>
        <w:rPr>
          <w:rFonts w:ascii="Calibri" w:hAnsi="Calibri"/>
        </w:rPr>
        <w:t>‐</w:t>
      </w:r>
      <w:r>
        <w:t>time job classifications and pay rates not listed on the annual schedule may be developed as needed upon recommendation of the Office of Human Resources and the approval of the President or designee.</w:t>
      </w:r>
    </w:p>
    <w:p w:rsidR="00FA095D" w:rsidRDefault="00FA095D" w:rsidP="001077CA">
      <w:pPr>
        <w:autoSpaceDE w:val="0"/>
        <w:autoSpaceDN w:val="0"/>
        <w:adjustRightInd w:val="0"/>
        <w:jc w:val="both"/>
      </w:pPr>
    </w:p>
    <w:p w:rsidR="00A94F10" w:rsidRDefault="00FA095D" w:rsidP="001077CA">
      <w:pPr>
        <w:autoSpaceDE w:val="0"/>
        <w:autoSpaceDN w:val="0"/>
        <w:adjustRightInd w:val="0"/>
        <w:jc w:val="both"/>
      </w:pPr>
      <w:r w:rsidRPr="00560DEC">
        <w:t>The compensation schedule will be review</w:t>
      </w:r>
      <w:r w:rsidR="00A94F10" w:rsidRPr="00560DEC">
        <w:t xml:space="preserve">ed annually </w:t>
      </w:r>
      <w:r w:rsidR="00912C64" w:rsidRPr="00560DEC">
        <w:t>as part of the College budget review process.</w:t>
      </w:r>
      <w:r w:rsidR="001B6DBE" w:rsidRPr="00560DEC">
        <w:t xml:space="preserve"> </w:t>
      </w:r>
      <w:r w:rsidR="00A94F10" w:rsidRPr="00560DEC">
        <w:t xml:space="preserve">The </w:t>
      </w:r>
      <w:r w:rsidR="00912C64" w:rsidRPr="00560DEC">
        <w:t xml:space="preserve">Chief Human Resources and Organizational Development Officer </w:t>
      </w:r>
      <w:r w:rsidR="00A94F10" w:rsidRPr="00560DEC">
        <w:t xml:space="preserve">will recommend adjustments to the salary schedule to the </w:t>
      </w:r>
      <w:r w:rsidR="00912C64" w:rsidRPr="00560DEC">
        <w:t>President</w:t>
      </w:r>
      <w:r w:rsidR="00A94F10" w:rsidRPr="00560DEC">
        <w:t xml:space="preserve"> if appropriate.</w:t>
      </w:r>
      <w:r w:rsidR="00A94F10">
        <w:t xml:space="preserve"> </w:t>
      </w:r>
    </w:p>
    <w:p w:rsidR="00A94F10" w:rsidRDefault="00A94F10" w:rsidP="001077CA">
      <w:pPr>
        <w:autoSpaceDE w:val="0"/>
        <w:autoSpaceDN w:val="0"/>
        <w:adjustRightInd w:val="0"/>
        <w:jc w:val="both"/>
      </w:pPr>
    </w:p>
    <w:p w:rsidR="00087625" w:rsidRDefault="001B6DBE" w:rsidP="001077CA">
      <w:pPr>
        <w:autoSpaceDE w:val="0"/>
        <w:autoSpaceDN w:val="0"/>
        <w:adjustRightInd w:val="0"/>
        <w:jc w:val="both"/>
        <w:rPr>
          <w:u w:val="single"/>
        </w:rPr>
      </w:pPr>
      <w:r>
        <w:t xml:space="preserve"> </w:t>
      </w:r>
      <w:r w:rsidR="00087625">
        <w:rPr>
          <w:b/>
          <w:u w:val="single"/>
        </w:rPr>
        <w:t>Compensation Guidelines</w:t>
      </w:r>
    </w:p>
    <w:p w:rsidR="00087625" w:rsidRDefault="00087625" w:rsidP="001077CA">
      <w:pPr>
        <w:pStyle w:val="PlainText"/>
        <w:jc w:val="both"/>
        <w:rPr>
          <w:rFonts w:ascii="Times New Roman" w:hAnsi="Times New Roman"/>
          <w:sz w:val="24"/>
        </w:rPr>
      </w:pPr>
    </w:p>
    <w:p w:rsidR="003F58AD" w:rsidRDefault="00087625" w:rsidP="001077CA">
      <w:pPr>
        <w:pStyle w:val="PlainText"/>
        <w:numPr>
          <w:ilvl w:val="0"/>
          <w:numId w:val="19"/>
        </w:numPr>
        <w:jc w:val="both"/>
        <w:rPr>
          <w:rFonts w:ascii="Times New Roman" w:hAnsi="Times New Roman"/>
          <w:sz w:val="24"/>
        </w:rPr>
      </w:pPr>
      <w:r>
        <w:rPr>
          <w:rFonts w:ascii="Times New Roman" w:hAnsi="Times New Roman"/>
          <w:b/>
          <w:sz w:val="24"/>
        </w:rPr>
        <w:t xml:space="preserve">New Employees </w:t>
      </w:r>
      <w:r>
        <w:rPr>
          <w:rFonts w:ascii="Times New Roman" w:hAnsi="Times New Roman"/>
          <w:sz w:val="24"/>
        </w:rPr>
        <w:t xml:space="preserve">– Generally, new employees are hired at the minimum salary established for the position’s pay grade. If an applicant possesses training and/or experience substantially above that required for the position, or where unusual employment conditions make it extremely difficult to hire for a position, </w:t>
      </w:r>
      <w:r w:rsidR="003F58AD" w:rsidRPr="00560DEC">
        <w:rPr>
          <w:rFonts w:ascii="Times New Roman" w:hAnsi="Times New Roman"/>
          <w:sz w:val="24"/>
        </w:rPr>
        <w:t>an</w:t>
      </w:r>
      <w:r w:rsidRPr="00560DEC">
        <w:rPr>
          <w:rFonts w:ascii="Times New Roman" w:hAnsi="Times New Roman"/>
          <w:sz w:val="24"/>
        </w:rPr>
        <w:t xml:space="preserve"> applicant may be offered a salary above the pay grade minimum</w:t>
      </w:r>
      <w:r w:rsidR="003F58AD" w:rsidRPr="00560DEC">
        <w:rPr>
          <w:rFonts w:ascii="Times New Roman" w:hAnsi="Times New Roman"/>
          <w:sz w:val="24"/>
        </w:rPr>
        <w:t xml:space="preserve"> in accordance with the following:</w:t>
      </w:r>
      <w:r w:rsidRPr="00560DEC">
        <w:rPr>
          <w:rFonts w:ascii="Times New Roman" w:hAnsi="Times New Roman"/>
          <w:sz w:val="24"/>
        </w:rPr>
        <w:t xml:space="preserve"> </w:t>
      </w:r>
      <w:r w:rsidR="003F58AD" w:rsidRPr="00560DEC">
        <w:rPr>
          <w:rFonts w:ascii="Times New Roman" w:hAnsi="Times New Roman"/>
          <w:sz w:val="24"/>
        </w:rPr>
        <w:t>The hiring official must document the supporting reasons for the request</w:t>
      </w:r>
      <w:r w:rsidR="00912C64" w:rsidRPr="00560DEC">
        <w:rPr>
          <w:rFonts w:ascii="Times New Roman" w:hAnsi="Times New Roman"/>
          <w:sz w:val="24"/>
        </w:rPr>
        <w:t xml:space="preserve"> for review and approval by the Office of Human Resources</w:t>
      </w:r>
      <w:r w:rsidR="003F58AD" w:rsidRPr="00560DEC">
        <w:rPr>
          <w:rFonts w:ascii="Times New Roman" w:hAnsi="Times New Roman"/>
          <w:sz w:val="24"/>
        </w:rPr>
        <w:t xml:space="preserve"> </w:t>
      </w:r>
      <w:r w:rsidR="00912C64" w:rsidRPr="00560DEC">
        <w:rPr>
          <w:rFonts w:ascii="Times New Roman" w:hAnsi="Times New Roman"/>
          <w:sz w:val="24"/>
        </w:rPr>
        <w:t xml:space="preserve">and </w:t>
      </w:r>
      <w:r w:rsidR="003F58AD" w:rsidRPr="00560DEC">
        <w:rPr>
          <w:rFonts w:ascii="Times New Roman" w:hAnsi="Times New Roman"/>
          <w:sz w:val="24"/>
        </w:rPr>
        <w:t xml:space="preserve">their appropriate chain of command.  </w:t>
      </w:r>
      <w:r w:rsidR="0093009D" w:rsidRPr="00560DEC">
        <w:rPr>
          <w:rFonts w:ascii="Times New Roman" w:hAnsi="Times New Roman"/>
          <w:sz w:val="24"/>
        </w:rPr>
        <w:t xml:space="preserve">The hiring official must have funding available </w:t>
      </w:r>
      <w:r w:rsidR="00912C64" w:rsidRPr="00560DEC">
        <w:rPr>
          <w:rFonts w:ascii="Times New Roman" w:hAnsi="Times New Roman"/>
          <w:sz w:val="24"/>
        </w:rPr>
        <w:t xml:space="preserve">and provide </w:t>
      </w:r>
      <w:r w:rsidR="00707C25" w:rsidRPr="00560DEC">
        <w:rPr>
          <w:rFonts w:ascii="Times New Roman" w:hAnsi="Times New Roman"/>
          <w:sz w:val="24"/>
        </w:rPr>
        <w:t xml:space="preserve">confirmation </w:t>
      </w:r>
      <w:r w:rsidR="0093009D" w:rsidRPr="00560DEC">
        <w:rPr>
          <w:rFonts w:ascii="Times New Roman" w:hAnsi="Times New Roman"/>
          <w:sz w:val="24"/>
        </w:rPr>
        <w:t xml:space="preserve">by the budget office </w:t>
      </w:r>
      <w:r w:rsidR="00912C64" w:rsidRPr="00560DEC">
        <w:rPr>
          <w:rFonts w:ascii="Times New Roman" w:hAnsi="Times New Roman"/>
          <w:sz w:val="24"/>
        </w:rPr>
        <w:t>to the Office of Human Resources</w:t>
      </w:r>
      <w:r w:rsidR="0093009D" w:rsidRPr="00560DEC">
        <w:rPr>
          <w:rFonts w:ascii="Times New Roman" w:hAnsi="Times New Roman"/>
          <w:sz w:val="24"/>
        </w:rPr>
        <w:t>.</w:t>
      </w:r>
    </w:p>
    <w:p w:rsidR="00E9151B" w:rsidRDefault="00E9151B" w:rsidP="001077CA">
      <w:pPr>
        <w:pStyle w:val="PlainText"/>
        <w:jc w:val="both"/>
        <w:rPr>
          <w:rFonts w:ascii="Times New Roman" w:hAnsi="Times New Roman"/>
          <w:sz w:val="24"/>
        </w:rPr>
      </w:pPr>
    </w:p>
    <w:p w:rsidR="003F58AD" w:rsidRPr="00A158A1" w:rsidRDefault="003F58AD" w:rsidP="001077CA">
      <w:pPr>
        <w:pStyle w:val="PlainText"/>
        <w:numPr>
          <w:ilvl w:val="0"/>
          <w:numId w:val="19"/>
        </w:numPr>
        <w:jc w:val="both"/>
        <w:rPr>
          <w:rFonts w:ascii="Times New Roman" w:hAnsi="Times New Roman"/>
          <w:sz w:val="24"/>
        </w:rPr>
      </w:pPr>
      <w:r w:rsidRPr="00A158A1">
        <w:rPr>
          <w:rFonts w:ascii="Times New Roman" w:hAnsi="Times New Roman"/>
          <w:sz w:val="24"/>
        </w:rPr>
        <w:t xml:space="preserve">For any request above the minimum salary of the pay grade, the Office of Human Resources will </w:t>
      </w:r>
      <w:r w:rsidR="00912C64" w:rsidRPr="00A158A1">
        <w:rPr>
          <w:rFonts w:ascii="Times New Roman" w:hAnsi="Times New Roman"/>
          <w:sz w:val="24"/>
        </w:rPr>
        <w:t xml:space="preserve">review </w:t>
      </w:r>
      <w:r w:rsidRPr="00A158A1">
        <w:rPr>
          <w:rFonts w:ascii="Times New Roman" w:hAnsi="Times New Roman"/>
          <w:sz w:val="24"/>
        </w:rPr>
        <w:t>internal equity data</w:t>
      </w:r>
      <w:r w:rsidR="00912C64" w:rsidRPr="00A158A1">
        <w:rPr>
          <w:rFonts w:ascii="Times New Roman" w:hAnsi="Times New Roman"/>
          <w:sz w:val="24"/>
        </w:rPr>
        <w:t xml:space="preserve">, and advise </w:t>
      </w:r>
      <w:r w:rsidR="0093009D" w:rsidRPr="00A158A1">
        <w:rPr>
          <w:rFonts w:ascii="Times New Roman" w:hAnsi="Times New Roman"/>
          <w:sz w:val="24"/>
        </w:rPr>
        <w:t xml:space="preserve">the </w:t>
      </w:r>
      <w:r w:rsidR="00912C64" w:rsidRPr="00A158A1">
        <w:rPr>
          <w:rFonts w:ascii="Times New Roman" w:hAnsi="Times New Roman"/>
          <w:sz w:val="24"/>
        </w:rPr>
        <w:t>hiring official of the findings.</w:t>
      </w:r>
    </w:p>
    <w:p w:rsidR="00087625" w:rsidRDefault="00087625" w:rsidP="001077CA">
      <w:pPr>
        <w:pStyle w:val="PlainText"/>
        <w:jc w:val="both"/>
        <w:rPr>
          <w:rFonts w:ascii="Times New Roman" w:hAnsi="Times New Roman"/>
          <w:b/>
          <w:sz w:val="24"/>
        </w:rPr>
      </w:pPr>
    </w:p>
    <w:p w:rsidR="00087625" w:rsidRDefault="00087625" w:rsidP="001077CA">
      <w:pPr>
        <w:pStyle w:val="PlainText"/>
        <w:jc w:val="both"/>
        <w:rPr>
          <w:rFonts w:ascii="Times New Roman" w:hAnsi="Times New Roman"/>
          <w:sz w:val="24"/>
        </w:rPr>
      </w:pPr>
      <w:r w:rsidRPr="00707C25">
        <w:rPr>
          <w:rFonts w:ascii="Times New Roman" w:hAnsi="Times New Roman"/>
          <w:b/>
          <w:sz w:val="24"/>
          <w:u w:val="single"/>
        </w:rPr>
        <w:t>General Increases</w:t>
      </w:r>
      <w:r>
        <w:rPr>
          <w:rFonts w:ascii="Times New Roman" w:hAnsi="Times New Roman"/>
          <w:sz w:val="24"/>
        </w:rPr>
        <w:t xml:space="preserve">—General salary increases for personnel are determined annually by the District Board of Trustees and are dependent upon availability of funding. Employees will be granted a salary increase in accordance with the </w:t>
      </w:r>
      <w:r w:rsidR="006C2644">
        <w:rPr>
          <w:rFonts w:ascii="Times New Roman" w:hAnsi="Times New Roman"/>
          <w:sz w:val="24"/>
        </w:rPr>
        <w:t xml:space="preserve">following unless additional </w:t>
      </w:r>
      <w:r>
        <w:rPr>
          <w:rFonts w:ascii="Times New Roman" w:hAnsi="Times New Roman"/>
          <w:sz w:val="24"/>
        </w:rPr>
        <w:t xml:space="preserve">guidelines </w:t>
      </w:r>
      <w:r w:rsidR="006C2644">
        <w:rPr>
          <w:rFonts w:ascii="Times New Roman" w:hAnsi="Times New Roman"/>
          <w:sz w:val="24"/>
        </w:rPr>
        <w:t xml:space="preserve">are </w:t>
      </w:r>
      <w:r>
        <w:rPr>
          <w:rFonts w:ascii="Times New Roman" w:hAnsi="Times New Roman"/>
          <w:sz w:val="24"/>
        </w:rPr>
        <w:t xml:space="preserve">established at the time the increase </w:t>
      </w:r>
      <w:r w:rsidR="006C2644">
        <w:rPr>
          <w:rFonts w:ascii="Times New Roman" w:hAnsi="Times New Roman"/>
          <w:sz w:val="24"/>
        </w:rPr>
        <w:t>is</w:t>
      </w:r>
      <w:r w:rsidR="00E9151B">
        <w:rPr>
          <w:rFonts w:ascii="Times New Roman" w:hAnsi="Times New Roman"/>
          <w:sz w:val="24"/>
        </w:rPr>
        <w:t xml:space="preserve"> </w:t>
      </w:r>
      <w:r>
        <w:rPr>
          <w:rFonts w:ascii="Times New Roman" w:hAnsi="Times New Roman"/>
          <w:sz w:val="24"/>
        </w:rPr>
        <w:t>declared:</w:t>
      </w:r>
    </w:p>
    <w:p w:rsidR="006C2644" w:rsidRPr="00E9151B" w:rsidRDefault="006C2644" w:rsidP="001077CA">
      <w:pPr>
        <w:pStyle w:val="PlainText"/>
        <w:numPr>
          <w:ilvl w:val="0"/>
          <w:numId w:val="18"/>
        </w:numPr>
        <w:jc w:val="both"/>
        <w:rPr>
          <w:rFonts w:ascii="Times New Roman" w:hAnsi="Times New Roman"/>
          <w:sz w:val="24"/>
          <w:szCs w:val="24"/>
        </w:rPr>
      </w:pPr>
      <w:r w:rsidRPr="00E9151B">
        <w:rPr>
          <w:rFonts w:ascii="Times New Roman" w:hAnsi="Times New Roman"/>
          <w:sz w:val="24"/>
          <w:szCs w:val="24"/>
        </w:rPr>
        <w:lastRenderedPageBreak/>
        <w:t>Faculty salary increases are governed by the Collective Negotiations Agreement and are subject to District Board of Trustee approval</w:t>
      </w:r>
      <w:r w:rsidR="00707C25">
        <w:rPr>
          <w:rFonts w:ascii="Times New Roman" w:hAnsi="Times New Roman"/>
          <w:sz w:val="24"/>
          <w:szCs w:val="24"/>
        </w:rPr>
        <w:t>.</w:t>
      </w:r>
    </w:p>
    <w:p w:rsidR="006C2644" w:rsidRPr="00E9151B" w:rsidRDefault="006C2644" w:rsidP="001077CA">
      <w:pPr>
        <w:pStyle w:val="PlainText"/>
        <w:ind w:left="720"/>
        <w:jc w:val="both"/>
        <w:rPr>
          <w:rFonts w:ascii="Times New Roman" w:hAnsi="Times New Roman"/>
          <w:sz w:val="24"/>
          <w:szCs w:val="24"/>
        </w:rPr>
      </w:pPr>
      <w:r w:rsidRPr="00E9151B">
        <w:rPr>
          <w:rFonts w:ascii="Times New Roman" w:hAnsi="Times New Roman"/>
          <w:sz w:val="24"/>
          <w:szCs w:val="24"/>
        </w:rPr>
        <w:t xml:space="preserve"> </w:t>
      </w:r>
    </w:p>
    <w:p w:rsidR="00E9151B" w:rsidRPr="00E9151B" w:rsidRDefault="00707C25" w:rsidP="001077CA">
      <w:pPr>
        <w:pStyle w:val="PlainText"/>
        <w:numPr>
          <w:ilvl w:val="0"/>
          <w:numId w:val="18"/>
        </w:numPr>
        <w:jc w:val="both"/>
        <w:rPr>
          <w:rFonts w:ascii="Times New Roman" w:hAnsi="Times New Roman"/>
          <w:sz w:val="24"/>
          <w:szCs w:val="24"/>
        </w:rPr>
      </w:pPr>
      <w:r>
        <w:rPr>
          <w:rFonts w:ascii="Times New Roman" w:hAnsi="Times New Roman"/>
          <w:sz w:val="24"/>
          <w:szCs w:val="24"/>
        </w:rPr>
        <w:t>Executive, administrator and s</w:t>
      </w:r>
      <w:r w:rsidR="006C2644" w:rsidRPr="00E9151B">
        <w:rPr>
          <w:rFonts w:ascii="Times New Roman" w:hAnsi="Times New Roman"/>
          <w:sz w:val="24"/>
          <w:szCs w:val="24"/>
        </w:rPr>
        <w:t>taff salary increases are recommended</w:t>
      </w:r>
      <w:r w:rsidR="002E5285" w:rsidRPr="00E9151B">
        <w:rPr>
          <w:rFonts w:ascii="Times New Roman" w:hAnsi="Times New Roman"/>
          <w:sz w:val="24"/>
          <w:szCs w:val="24"/>
        </w:rPr>
        <w:t xml:space="preserve"> to the District Board of Trustees by the </w:t>
      </w:r>
      <w:r w:rsidR="002E5285" w:rsidRPr="00A158A1">
        <w:rPr>
          <w:rFonts w:ascii="Times New Roman" w:hAnsi="Times New Roman"/>
          <w:sz w:val="24"/>
          <w:szCs w:val="24"/>
        </w:rPr>
        <w:t>President.</w:t>
      </w:r>
      <w:r w:rsidR="00912C64">
        <w:rPr>
          <w:rFonts w:ascii="Times New Roman" w:hAnsi="Times New Roman"/>
          <w:sz w:val="24"/>
          <w:szCs w:val="24"/>
        </w:rPr>
        <w:t xml:space="preserve">  </w:t>
      </w:r>
    </w:p>
    <w:p w:rsidR="00E9151B" w:rsidRPr="00E9151B" w:rsidRDefault="00E9151B" w:rsidP="001077CA">
      <w:pPr>
        <w:pStyle w:val="ListParagraph"/>
        <w:jc w:val="both"/>
      </w:pPr>
    </w:p>
    <w:p w:rsidR="00A94F10" w:rsidRPr="00E9151B" w:rsidRDefault="002E5285" w:rsidP="001077CA">
      <w:pPr>
        <w:pStyle w:val="PlainText"/>
        <w:numPr>
          <w:ilvl w:val="0"/>
          <w:numId w:val="18"/>
        </w:numPr>
        <w:jc w:val="both"/>
        <w:rPr>
          <w:rFonts w:ascii="Times New Roman" w:hAnsi="Times New Roman"/>
          <w:sz w:val="24"/>
          <w:szCs w:val="24"/>
        </w:rPr>
      </w:pPr>
      <w:r w:rsidRPr="00E9151B">
        <w:rPr>
          <w:rFonts w:ascii="Times New Roman" w:hAnsi="Times New Roman"/>
          <w:sz w:val="24"/>
          <w:szCs w:val="24"/>
        </w:rPr>
        <w:t>Generally, all full and part time regular status non-instructional staff</w:t>
      </w:r>
      <w:r w:rsidR="00707C25">
        <w:rPr>
          <w:rFonts w:ascii="Times New Roman" w:hAnsi="Times New Roman"/>
          <w:sz w:val="24"/>
          <w:szCs w:val="24"/>
        </w:rPr>
        <w:t xml:space="preserve"> on regular funding would be eligible for an increase, with the exceptions in the procedure noted</w:t>
      </w:r>
      <w:r w:rsidRPr="00E9151B">
        <w:rPr>
          <w:rFonts w:ascii="Times New Roman" w:hAnsi="Times New Roman"/>
          <w:sz w:val="24"/>
          <w:szCs w:val="24"/>
        </w:rPr>
        <w:t xml:space="preserve">.  </w:t>
      </w:r>
    </w:p>
    <w:p w:rsidR="0093009D" w:rsidRPr="00E9151B" w:rsidRDefault="0093009D" w:rsidP="001077CA">
      <w:pPr>
        <w:pStyle w:val="PlainText"/>
        <w:ind w:left="720"/>
        <w:jc w:val="both"/>
        <w:rPr>
          <w:rFonts w:ascii="Times New Roman" w:hAnsi="Times New Roman"/>
          <w:sz w:val="24"/>
          <w:szCs w:val="24"/>
        </w:rPr>
      </w:pPr>
    </w:p>
    <w:p w:rsidR="00647F3E" w:rsidRPr="00E9151B" w:rsidRDefault="00647F3E" w:rsidP="001077CA">
      <w:pPr>
        <w:pStyle w:val="PlainText"/>
        <w:numPr>
          <w:ilvl w:val="0"/>
          <w:numId w:val="18"/>
        </w:numPr>
        <w:jc w:val="both"/>
        <w:rPr>
          <w:rFonts w:ascii="Times New Roman" w:hAnsi="Times New Roman"/>
          <w:sz w:val="24"/>
          <w:szCs w:val="24"/>
        </w:rPr>
      </w:pPr>
      <w:r w:rsidRPr="00E9151B">
        <w:rPr>
          <w:rFonts w:ascii="Times New Roman" w:hAnsi="Times New Roman"/>
          <w:sz w:val="24"/>
          <w:szCs w:val="24"/>
        </w:rPr>
        <w:t xml:space="preserve">An employee in a grant or special funded position may not receive an increase if </w:t>
      </w:r>
      <w:r w:rsidR="00E9151B">
        <w:rPr>
          <w:rFonts w:ascii="Times New Roman" w:hAnsi="Times New Roman"/>
          <w:sz w:val="24"/>
          <w:szCs w:val="24"/>
        </w:rPr>
        <w:t xml:space="preserve">the </w:t>
      </w:r>
      <w:r w:rsidRPr="00E9151B">
        <w:rPr>
          <w:rFonts w:ascii="Times New Roman" w:hAnsi="Times New Roman"/>
          <w:sz w:val="24"/>
          <w:szCs w:val="24"/>
        </w:rPr>
        <w:t>funding is not available through the grant, special funding source or regular funding.</w:t>
      </w:r>
    </w:p>
    <w:p w:rsidR="0093009D" w:rsidRPr="00E9151B" w:rsidRDefault="0093009D" w:rsidP="001077CA">
      <w:pPr>
        <w:pStyle w:val="PlainText"/>
        <w:ind w:left="720"/>
        <w:jc w:val="both"/>
        <w:rPr>
          <w:rFonts w:ascii="Times New Roman" w:hAnsi="Times New Roman"/>
          <w:sz w:val="24"/>
          <w:szCs w:val="24"/>
        </w:rPr>
      </w:pPr>
    </w:p>
    <w:p w:rsidR="002E5285" w:rsidRPr="00A158A1" w:rsidRDefault="0093009D" w:rsidP="00A158A1">
      <w:pPr>
        <w:pStyle w:val="PlainText"/>
        <w:numPr>
          <w:ilvl w:val="0"/>
          <w:numId w:val="18"/>
        </w:numPr>
        <w:jc w:val="both"/>
        <w:rPr>
          <w:rFonts w:ascii="Times New Roman" w:hAnsi="Times New Roman"/>
          <w:sz w:val="24"/>
          <w:szCs w:val="24"/>
        </w:rPr>
      </w:pPr>
      <w:bookmarkStart w:id="1" w:name="OLE_LINK1"/>
      <w:r w:rsidRPr="00E9151B">
        <w:rPr>
          <w:rFonts w:ascii="Times New Roman" w:hAnsi="Times New Roman"/>
          <w:sz w:val="24"/>
          <w:szCs w:val="24"/>
        </w:rPr>
        <w:t xml:space="preserve">Temporary employees such as Peak Partners, student assistants, employees hired on a per diem basis, other non-regular status appointments and employees hired into a regular position after the effective date are not eligible for the salary increase. </w:t>
      </w:r>
      <w:bookmarkEnd w:id="1"/>
    </w:p>
    <w:p w:rsidR="00A158A1" w:rsidRDefault="00A158A1" w:rsidP="00A158A1">
      <w:pPr>
        <w:pStyle w:val="ListParagraph"/>
      </w:pPr>
    </w:p>
    <w:p w:rsidR="002E5285" w:rsidRPr="00E9151B" w:rsidRDefault="002E5285" w:rsidP="001077CA">
      <w:pPr>
        <w:pStyle w:val="PlainText"/>
        <w:numPr>
          <w:ilvl w:val="0"/>
          <w:numId w:val="18"/>
        </w:numPr>
        <w:jc w:val="both"/>
        <w:rPr>
          <w:rFonts w:ascii="Times New Roman" w:hAnsi="Times New Roman"/>
          <w:sz w:val="24"/>
          <w:szCs w:val="24"/>
        </w:rPr>
      </w:pPr>
      <w:r w:rsidRPr="00E9151B">
        <w:rPr>
          <w:rFonts w:ascii="Times New Roman" w:hAnsi="Times New Roman"/>
          <w:sz w:val="24"/>
          <w:szCs w:val="24"/>
        </w:rPr>
        <w:t>Salary increases are applied to base salary only unless otherwise defined in the approved guidelines.</w:t>
      </w:r>
    </w:p>
    <w:p w:rsidR="002E5285" w:rsidRDefault="002E5285" w:rsidP="001077CA">
      <w:pPr>
        <w:pStyle w:val="ListParagraph"/>
        <w:jc w:val="both"/>
      </w:pPr>
    </w:p>
    <w:p w:rsidR="002E5285" w:rsidRDefault="00FA095D" w:rsidP="001077CA">
      <w:pPr>
        <w:pStyle w:val="PlainText"/>
        <w:numPr>
          <w:ilvl w:val="0"/>
          <w:numId w:val="18"/>
        </w:numPr>
        <w:jc w:val="both"/>
        <w:rPr>
          <w:rFonts w:ascii="Times New Roman" w:hAnsi="Times New Roman"/>
          <w:sz w:val="24"/>
        </w:rPr>
      </w:pPr>
      <w:r>
        <w:rPr>
          <w:rFonts w:ascii="Times New Roman" w:hAnsi="Times New Roman"/>
          <w:sz w:val="24"/>
        </w:rPr>
        <w:t xml:space="preserve">The </w:t>
      </w:r>
      <w:r w:rsidR="008D097F">
        <w:rPr>
          <w:rFonts w:ascii="Times New Roman" w:hAnsi="Times New Roman"/>
          <w:sz w:val="24"/>
        </w:rPr>
        <w:t xml:space="preserve">current </w:t>
      </w:r>
      <w:r>
        <w:rPr>
          <w:rFonts w:ascii="Times New Roman" w:hAnsi="Times New Roman"/>
          <w:sz w:val="24"/>
        </w:rPr>
        <w:t xml:space="preserve">salary </w:t>
      </w:r>
      <w:r w:rsidR="008D097F">
        <w:rPr>
          <w:rFonts w:ascii="Times New Roman" w:hAnsi="Times New Roman"/>
          <w:sz w:val="24"/>
        </w:rPr>
        <w:t xml:space="preserve">of an employee </w:t>
      </w:r>
      <w:r>
        <w:rPr>
          <w:rFonts w:ascii="Times New Roman" w:hAnsi="Times New Roman"/>
          <w:sz w:val="24"/>
        </w:rPr>
        <w:t>on the effective date of the increase is the basis for the salary increase.  Typically this effective date will be July 1, but may be declared by the Board of Trustees as some other date.  If the approved increase is retroactive to a particular date, the salary used as a basis is the base salary on th</w:t>
      </w:r>
      <w:r w:rsidR="00A94F10">
        <w:rPr>
          <w:rFonts w:ascii="Times New Roman" w:hAnsi="Times New Roman"/>
          <w:sz w:val="24"/>
        </w:rPr>
        <w:t xml:space="preserve">e retroactive </w:t>
      </w:r>
      <w:r>
        <w:rPr>
          <w:rFonts w:ascii="Times New Roman" w:hAnsi="Times New Roman"/>
          <w:sz w:val="24"/>
        </w:rPr>
        <w:t>date.</w:t>
      </w:r>
    </w:p>
    <w:p w:rsidR="006C2644" w:rsidRDefault="006C2644" w:rsidP="001077CA">
      <w:pPr>
        <w:pStyle w:val="PlainText"/>
        <w:jc w:val="both"/>
        <w:rPr>
          <w:rFonts w:ascii="Times New Roman" w:hAnsi="Times New Roman"/>
          <w:sz w:val="24"/>
        </w:rPr>
      </w:pPr>
      <w:r>
        <w:rPr>
          <w:rFonts w:ascii="Times New Roman" w:hAnsi="Times New Roman"/>
          <w:sz w:val="24"/>
        </w:rPr>
        <w:t xml:space="preserve"> </w:t>
      </w:r>
    </w:p>
    <w:p w:rsidR="00087625" w:rsidRPr="001A393D" w:rsidRDefault="00087625" w:rsidP="001077CA">
      <w:pPr>
        <w:pStyle w:val="PlainText"/>
        <w:numPr>
          <w:ilvl w:val="0"/>
          <w:numId w:val="18"/>
        </w:numPr>
        <w:jc w:val="both"/>
        <w:rPr>
          <w:rFonts w:ascii="Times New Roman" w:hAnsi="Times New Roman"/>
          <w:sz w:val="24"/>
        </w:rPr>
      </w:pPr>
      <w:r w:rsidRPr="001A393D">
        <w:rPr>
          <w:rFonts w:ascii="Times New Roman" w:hAnsi="Times New Roman"/>
          <w:sz w:val="24"/>
        </w:rPr>
        <w:t xml:space="preserve">An employee who has an overall rating in an annual or probationary evaluation of “Needs Improvement” or lower will be ineligible for the increase until the employee receives a satisfactory evaluation. The effective date of the increase will be the first pay period following receipt of the acceptable evaluation in the Office of Human Resources. </w:t>
      </w:r>
    </w:p>
    <w:p w:rsidR="00087625" w:rsidRDefault="00087625" w:rsidP="001077CA">
      <w:pPr>
        <w:pStyle w:val="PlainText"/>
        <w:jc w:val="both"/>
        <w:rPr>
          <w:rFonts w:ascii="Times New Roman" w:hAnsi="Times New Roman"/>
          <w:sz w:val="24"/>
        </w:rPr>
      </w:pPr>
    </w:p>
    <w:p w:rsidR="00087625" w:rsidRDefault="00087625" w:rsidP="001077CA">
      <w:pPr>
        <w:pStyle w:val="PlainText"/>
        <w:jc w:val="both"/>
        <w:rPr>
          <w:rFonts w:ascii="Times New Roman" w:hAnsi="Times New Roman"/>
          <w:sz w:val="24"/>
        </w:rPr>
      </w:pPr>
      <w:r w:rsidRPr="00CF3900">
        <w:rPr>
          <w:rFonts w:ascii="Times New Roman" w:hAnsi="Times New Roman"/>
          <w:b/>
          <w:sz w:val="24"/>
          <w:u w:val="single"/>
        </w:rPr>
        <w:t>Promotion</w:t>
      </w:r>
      <w:r w:rsidR="00CF3900">
        <w:rPr>
          <w:rFonts w:ascii="Times New Roman" w:hAnsi="Times New Roman"/>
          <w:b/>
          <w:sz w:val="24"/>
          <w:u w:val="single"/>
        </w:rPr>
        <w:t>s</w:t>
      </w:r>
      <w:r>
        <w:rPr>
          <w:rFonts w:ascii="Times New Roman" w:hAnsi="Times New Roman"/>
          <w:sz w:val="24"/>
        </w:rPr>
        <w:t>—Promotional salary increases are awarded as the result of a bona fide job promotion. A promotion is recognized as movement from a position at a lower pay grade to a higher grade where the level of duties and responsibilities has increased in scope. An employee will be placed on six-month probation upon being promoted.</w:t>
      </w:r>
    </w:p>
    <w:p w:rsidR="00087625" w:rsidRDefault="00087625" w:rsidP="001077CA">
      <w:pPr>
        <w:pStyle w:val="PlainText"/>
        <w:jc w:val="both"/>
        <w:rPr>
          <w:rFonts w:ascii="Times New Roman" w:hAnsi="Times New Roman"/>
          <w:sz w:val="24"/>
        </w:rPr>
      </w:pPr>
    </w:p>
    <w:p w:rsidR="00A158A1" w:rsidRDefault="00887211" w:rsidP="001077CA">
      <w:pPr>
        <w:pStyle w:val="PlainText"/>
        <w:jc w:val="both"/>
        <w:rPr>
          <w:rFonts w:ascii="Times New Roman" w:hAnsi="Times New Roman"/>
          <w:sz w:val="24"/>
        </w:rPr>
      </w:pPr>
      <w:r>
        <w:rPr>
          <w:rFonts w:ascii="Times New Roman" w:hAnsi="Times New Roman"/>
          <w:sz w:val="24"/>
        </w:rPr>
        <w:t xml:space="preserve">Promoted </w:t>
      </w:r>
      <w:r w:rsidR="00CF3900">
        <w:rPr>
          <w:rFonts w:ascii="Times New Roman" w:hAnsi="Times New Roman"/>
          <w:sz w:val="24"/>
        </w:rPr>
        <w:t xml:space="preserve">professional and career service </w:t>
      </w:r>
      <w:r>
        <w:rPr>
          <w:rFonts w:ascii="Times New Roman" w:hAnsi="Times New Roman"/>
          <w:sz w:val="24"/>
        </w:rPr>
        <w:t xml:space="preserve">employees </w:t>
      </w:r>
      <w:r w:rsidR="00087625" w:rsidRPr="00E9151B">
        <w:rPr>
          <w:rFonts w:ascii="Times New Roman" w:hAnsi="Times New Roman"/>
          <w:sz w:val="24"/>
        </w:rPr>
        <w:t xml:space="preserve">will receive the new position’s pay grade minimum or </w:t>
      </w:r>
      <w:r w:rsidR="00643E15" w:rsidRPr="00E9151B">
        <w:rPr>
          <w:rFonts w:ascii="Times New Roman" w:hAnsi="Times New Roman"/>
          <w:sz w:val="24"/>
        </w:rPr>
        <w:t>a 5% pay increase</w:t>
      </w:r>
      <w:r>
        <w:rPr>
          <w:rFonts w:ascii="Times New Roman" w:hAnsi="Times New Roman"/>
          <w:sz w:val="24"/>
        </w:rPr>
        <w:t xml:space="preserve"> above their current salary</w:t>
      </w:r>
      <w:r w:rsidR="00643E15" w:rsidRPr="00E9151B">
        <w:rPr>
          <w:rFonts w:ascii="Times New Roman" w:hAnsi="Times New Roman"/>
          <w:sz w:val="24"/>
        </w:rPr>
        <w:t>, whichever i</w:t>
      </w:r>
      <w:r w:rsidR="00A158A1">
        <w:rPr>
          <w:rFonts w:ascii="Times New Roman" w:hAnsi="Times New Roman"/>
          <w:sz w:val="24"/>
        </w:rPr>
        <w:t>s</w:t>
      </w:r>
      <w:r w:rsidR="00643E15" w:rsidRPr="00E9151B">
        <w:rPr>
          <w:rFonts w:ascii="Times New Roman" w:hAnsi="Times New Roman"/>
          <w:sz w:val="24"/>
        </w:rPr>
        <w:t xml:space="preserve"> higher.</w:t>
      </w:r>
      <w:r w:rsidR="00E9151B">
        <w:rPr>
          <w:rFonts w:ascii="Times New Roman" w:hAnsi="Times New Roman"/>
          <w:sz w:val="24"/>
        </w:rPr>
        <w:t xml:space="preserve">  </w:t>
      </w:r>
      <w:r w:rsidRPr="00A158A1">
        <w:rPr>
          <w:rFonts w:ascii="Times New Roman" w:hAnsi="Times New Roman"/>
          <w:sz w:val="24"/>
        </w:rPr>
        <w:t xml:space="preserve">The </w:t>
      </w:r>
      <w:r w:rsidR="00912C64" w:rsidRPr="00A158A1">
        <w:rPr>
          <w:rFonts w:ascii="Times New Roman" w:hAnsi="Times New Roman"/>
          <w:sz w:val="24"/>
        </w:rPr>
        <w:t>appropriate senior leadership</w:t>
      </w:r>
      <w:r w:rsidRPr="00A158A1">
        <w:rPr>
          <w:rFonts w:ascii="Times New Roman" w:hAnsi="Times New Roman"/>
          <w:sz w:val="24"/>
        </w:rPr>
        <w:t xml:space="preserve"> may authorize a higher promotional increase in exceptional circumstances</w:t>
      </w:r>
      <w:r w:rsidR="00912C64">
        <w:rPr>
          <w:rFonts w:ascii="Times New Roman" w:hAnsi="Times New Roman"/>
          <w:sz w:val="24"/>
        </w:rPr>
        <w:t>.</w:t>
      </w:r>
    </w:p>
    <w:p w:rsidR="00A158A1" w:rsidRDefault="00A158A1" w:rsidP="001077CA">
      <w:pPr>
        <w:pStyle w:val="PlainText"/>
        <w:jc w:val="both"/>
        <w:rPr>
          <w:rFonts w:ascii="Times New Roman" w:hAnsi="Times New Roman"/>
          <w:sz w:val="24"/>
        </w:rPr>
      </w:pPr>
    </w:p>
    <w:p w:rsidR="00CF3900" w:rsidRDefault="00CF3900" w:rsidP="001077CA">
      <w:pPr>
        <w:pStyle w:val="PlainText"/>
        <w:jc w:val="both"/>
        <w:rPr>
          <w:rFonts w:ascii="Times New Roman" w:hAnsi="Times New Roman"/>
          <w:sz w:val="24"/>
        </w:rPr>
      </w:pPr>
      <w:r>
        <w:rPr>
          <w:rFonts w:ascii="Times New Roman" w:hAnsi="Times New Roman"/>
          <w:sz w:val="24"/>
        </w:rPr>
        <w:t>The promotional salary increase for professional or career service staff moving to an administrator classification, or administrators and executives who are promoted within those classifications will have their s</w:t>
      </w:r>
      <w:r w:rsidR="00887211">
        <w:rPr>
          <w:rFonts w:ascii="Times New Roman" w:hAnsi="Times New Roman"/>
          <w:sz w:val="24"/>
        </w:rPr>
        <w:t>a</w:t>
      </w:r>
      <w:r w:rsidR="00087625" w:rsidRPr="00E9151B">
        <w:rPr>
          <w:rFonts w:ascii="Times New Roman" w:hAnsi="Times New Roman"/>
          <w:sz w:val="24"/>
        </w:rPr>
        <w:t>la</w:t>
      </w:r>
      <w:r>
        <w:rPr>
          <w:rFonts w:ascii="Times New Roman" w:hAnsi="Times New Roman"/>
          <w:sz w:val="24"/>
        </w:rPr>
        <w:t xml:space="preserve">ry increase </w:t>
      </w:r>
      <w:r w:rsidR="00087625" w:rsidRPr="00E9151B">
        <w:rPr>
          <w:rFonts w:ascii="Times New Roman" w:hAnsi="Times New Roman"/>
          <w:sz w:val="24"/>
        </w:rPr>
        <w:t xml:space="preserve">based on a variety of factors </w:t>
      </w:r>
      <w:r>
        <w:rPr>
          <w:rFonts w:ascii="Times New Roman" w:hAnsi="Times New Roman"/>
          <w:sz w:val="24"/>
        </w:rPr>
        <w:t xml:space="preserve">including experience, level and scope of responsibility, tenure and other relevant factors as determined by </w:t>
      </w:r>
      <w:r w:rsidR="00912C64" w:rsidRPr="00A158A1">
        <w:rPr>
          <w:rFonts w:ascii="Times New Roman" w:hAnsi="Times New Roman"/>
          <w:sz w:val="24"/>
        </w:rPr>
        <w:t>an equity and market review by the Office of Human Resources and approval by appropriate senior leadership.</w:t>
      </w:r>
    </w:p>
    <w:p w:rsidR="00912C64" w:rsidRDefault="00912C64" w:rsidP="001077CA">
      <w:pPr>
        <w:pStyle w:val="PlainText"/>
        <w:jc w:val="both"/>
        <w:rPr>
          <w:rFonts w:ascii="Times New Roman" w:hAnsi="Times New Roman"/>
          <w:sz w:val="24"/>
        </w:rPr>
      </w:pPr>
    </w:p>
    <w:p w:rsidR="00087625" w:rsidRDefault="00CF3900" w:rsidP="001077CA">
      <w:pPr>
        <w:pStyle w:val="PlainText"/>
        <w:jc w:val="both"/>
        <w:rPr>
          <w:rFonts w:ascii="Times New Roman" w:hAnsi="Times New Roman"/>
          <w:sz w:val="24"/>
        </w:rPr>
      </w:pPr>
      <w:r>
        <w:rPr>
          <w:rFonts w:ascii="Times New Roman" w:hAnsi="Times New Roman"/>
          <w:sz w:val="24"/>
        </w:rPr>
        <w:lastRenderedPageBreak/>
        <w:t xml:space="preserve">When a </w:t>
      </w:r>
      <w:r w:rsidR="00087625">
        <w:rPr>
          <w:rFonts w:ascii="Times New Roman" w:hAnsi="Times New Roman"/>
          <w:sz w:val="24"/>
        </w:rPr>
        <w:t>promotion occur</w:t>
      </w:r>
      <w:r>
        <w:rPr>
          <w:rFonts w:ascii="Times New Roman" w:hAnsi="Times New Roman"/>
          <w:sz w:val="24"/>
        </w:rPr>
        <w:t>s</w:t>
      </w:r>
      <w:r w:rsidR="00087625">
        <w:rPr>
          <w:rFonts w:ascii="Times New Roman" w:hAnsi="Times New Roman"/>
          <w:sz w:val="24"/>
        </w:rPr>
        <w:t xml:space="preserve"> on the same date as a general increase (typically July 1), the salary shall be adjusted in accordance with the procedure for promotion first and then the general increase will be applied. </w:t>
      </w:r>
      <w:r w:rsidR="00FA095D">
        <w:rPr>
          <w:rFonts w:ascii="Times New Roman" w:hAnsi="Times New Roman"/>
          <w:sz w:val="24"/>
        </w:rPr>
        <w:t xml:space="preserve"> If the promotion occurs after the effective date of the increase, the salary increase is applied first</w:t>
      </w:r>
      <w:r>
        <w:rPr>
          <w:rFonts w:ascii="Times New Roman" w:hAnsi="Times New Roman"/>
          <w:sz w:val="24"/>
        </w:rPr>
        <w:t xml:space="preserve"> and </w:t>
      </w:r>
      <w:r w:rsidR="00FA095D">
        <w:rPr>
          <w:rFonts w:ascii="Times New Roman" w:hAnsi="Times New Roman"/>
          <w:sz w:val="24"/>
        </w:rPr>
        <w:t xml:space="preserve">then the promotion is applied.  The salary increase will not be applied to the promotion amount if it occurs after the effective date of the increase. </w:t>
      </w:r>
    </w:p>
    <w:p w:rsidR="00CF3900" w:rsidRDefault="00CF3900" w:rsidP="001077CA">
      <w:pPr>
        <w:pStyle w:val="PlainText"/>
        <w:jc w:val="both"/>
        <w:rPr>
          <w:rFonts w:ascii="Times New Roman" w:hAnsi="Times New Roman"/>
          <w:sz w:val="24"/>
        </w:rPr>
      </w:pPr>
    </w:p>
    <w:p w:rsidR="00087625" w:rsidRDefault="00087625" w:rsidP="001077CA">
      <w:pPr>
        <w:pStyle w:val="PlainText"/>
        <w:jc w:val="both"/>
        <w:rPr>
          <w:rFonts w:ascii="Times New Roman" w:hAnsi="Times New Roman"/>
          <w:sz w:val="24"/>
        </w:rPr>
      </w:pPr>
      <w:r w:rsidRPr="00CF3900">
        <w:rPr>
          <w:rFonts w:ascii="Times New Roman" w:hAnsi="Times New Roman"/>
          <w:b/>
          <w:sz w:val="24"/>
          <w:u w:val="single"/>
        </w:rPr>
        <w:t>Demotions</w:t>
      </w:r>
      <w:r>
        <w:rPr>
          <w:rFonts w:ascii="Times New Roman" w:hAnsi="Times New Roman"/>
          <w:sz w:val="24"/>
        </w:rPr>
        <w:t xml:space="preserve"> – A demotion is an assignment from one job classification to another whose pay grade minimum is lower. A demotion, either voluntary or involuntary, may result in a reduction</w:t>
      </w:r>
      <w:r w:rsidR="0000283F">
        <w:rPr>
          <w:rFonts w:ascii="Times New Roman" w:hAnsi="Times New Roman"/>
          <w:sz w:val="24"/>
        </w:rPr>
        <w:t xml:space="preserve"> in salary</w:t>
      </w:r>
      <w:r>
        <w:rPr>
          <w:rFonts w:ascii="Times New Roman" w:hAnsi="Times New Roman"/>
          <w:sz w:val="24"/>
        </w:rPr>
        <w:t>. An employee who is demoted will be placed on six-month probation.</w:t>
      </w:r>
    </w:p>
    <w:p w:rsidR="00087625" w:rsidRDefault="00087625" w:rsidP="001077CA">
      <w:pPr>
        <w:pStyle w:val="PlainText"/>
        <w:ind w:left="720"/>
        <w:jc w:val="both"/>
        <w:rPr>
          <w:rFonts w:ascii="Times New Roman" w:hAnsi="Times New Roman"/>
          <w:sz w:val="24"/>
        </w:rPr>
      </w:pPr>
    </w:p>
    <w:p w:rsidR="00087625" w:rsidRDefault="00087625" w:rsidP="001077CA">
      <w:pPr>
        <w:pStyle w:val="PlainText"/>
        <w:jc w:val="both"/>
        <w:rPr>
          <w:rFonts w:ascii="Times New Roman" w:hAnsi="Times New Roman"/>
          <w:sz w:val="24"/>
        </w:rPr>
      </w:pPr>
      <w:r>
        <w:rPr>
          <w:rFonts w:ascii="Times New Roman" w:hAnsi="Times New Roman"/>
          <w:sz w:val="24"/>
        </w:rPr>
        <w:t>If a demotion takes place less than 90 days after a promotion, the employee's salary level will be reduced by the percentage granted for the promotion. In addition, if the employee is returned to his/her previous lower-level position in which he/she successfully completed the probationary period, he or she will not be required to complete another probationary period.</w:t>
      </w:r>
    </w:p>
    <w:p w:rsidR="007860A7" w:rsidRDefault="007860A7" w:rsidP="001077CA">
      <w:pPr>
        <w:pStyle w:val="PlainText"/>
        <w:jc w:val="both"/>
        <w:rPr>
          <w:rFonts w:ascii="Times New Roman" w:hAnsi="Times New Roman"/>
          <w:sz w:val="24"/>
        </w:rPr>
      </w:pPr>
    </w:p>
    <w:p w:rsidR="00087625" w:rsidRDefault="00087625" w:rsidP="001077CA">
      <w:pPr>
        <w:pStyle w:val="PlainText"/>
        <w:jc w:val="both"/>
        <w:rPr>
          <w:rFonts w:ascii="Times New Roman" w:hAnsi="Times New Roman"/>
          <w:sz w:val="24"/>
        </w:rPr>
      </w:pPr>
      <w:r w:rsidRPr="00CF3900">
        <w:rPr>
          <w:rFonts w:ascii="Times New Roman" w:hAnsi="Times New Roman"/>
          <w:b/>
          <w:sz w:val="24"/>
          <w:u w:val="single"/>
        </w:rPr>
        <w:t>Transfers</w:t>
      </w:r>
      <w:r>
        <w:rPr>
          <w:rFonts w:ascii="Times New Roman" w:hAnsi="Times New Roman"/>
          <w:sz w:val="24"/>
        </w:rPr>
        <w:t xml:space="preserve"> – An employee is considered transferred when he/she is placed, either voluntarily or involuntarily, in another position within the same pay grade. An employee will not receive a salary increase in the case of a lateral transfer. An employee will be placed on six</w:t>
      </w:r>
      <w:r w:rsidR="0000283F">
        <w:rPr>
          <w:rFonts w:ascii="Times New Roman" w:hAnsi="Times New Roman"/>
          <w:sz w:val="24"/>
        </w:rPr>
        <w:t>-</w:t>
      </w:r>
      <w:r>
        <w:rPr>
          <w:rFonts w:ascii="Times New Roman" w:hAnsi="Times New Roman"/>
          <w:sz w:val="24"/>
        </w:rPr>
        <w:t>month probation upon transfer.</w:t>
      </w:r>
    </w:p>
    <w:p w:rsidR="00087625" w:rsidRDefault="00087625" w:rsidP="001077CA">
      <w:pPr>
        <w:pStyle w:val="PlainText"/>
        <w:ind w:left="720"/>
        <w:jc w:val="both"/>
        <w:rPr>
          <w:rFonts w:ascii="Times New Roman" w:hAnsi="Times New Roman"/>
          <w:b/>
          <w:sz w:val="24"/>
        </w:rPr>
      </w:pPr>
    </w:p>
    <w:p w:rsidR="00087625" w:rsidRDefault="00087625" w:rsidP="001077CA">
      <w:pPr>
        <w:pStyle w:val="PlainText"/>
        <w:jc w:val="both"/>
        <w:rPr>
          <w:rFonts w:ascii="Times New Roman" w:hAnsi="Times New Roman"/>
          <w:sz w:val="24"/>
        </w:rPr>
      </w:pPr>
      <w:r w:rsidRPr="00CF3900">
        <w:rPr>
          <w:rFonts w:ascii="Times New Roman" w:hAnsi="Times New Roman"/>
          <w:b/>
          <w:sz w:val="24"/>
          <w:u w:val="single"/>
        </w:rPr>
        <w:t>Interim Assignments</w:t>
      </w:r>
      <w:r>
        <w:rPr>
          <w:rFonts w:ascii="Times New Roman" w:hAnsi="Times New Roman"/>
          <w:sz w:val="24"/>
        </w:rPr>
        <w:t xml:space="preserve"> – If an employee is temporarily assigned and performing all the duties of a position with a higher minimum salary, the employee will be paid at the minimum salary of the higher classification or in accordance with the procedure outlined for promotions. In cases where an employee assumes an interim position, but is not expected to perform all the functions and responsibilities of the position, the employee may be compensated at a rate less than the pay grade minimum. </w:t>
      </w:r>
      <w:r w:rsidRPr="00A158A1">
        <w:rPr>
          <w:rFonts w:ascii="Times New Roman" w:hAnsi="Times New Roman"/>
          <w:sz w:val="24"/>
        </w:rPr>
        <w:t xml:space="preserve">A memorandum of understanding outlining the expectations and related pay for the interim position will be completed </w:t>
      </w:r>
      <w:r w:rsidR="00912C64" w:rsidRPr="00A158A1">
        <w:rPr>
          <w:rFonts w:ascii="Times New Roman" w:hAnsi="Times New Roman"/>
          <w:sz w:val="24"/>
        </w:rPr>
        <w:t xml:space="preserve">by the supervisor </w:t>
      </w:r>
      <w:r w:rsidRPr="00A158A1">
        <w:rPr>
          <w:rFonts w:ascii="Times New Roman" w:hAnsi="Times New Roman"/>
          <w:sz w:val="24"/>
        </w:rPr>
        <w:t>and presented to the employee in advance of the start of the assignment.</w:t>
      </w:r>
      <w:r w:rsidR="00912C64" w:rsidRPr="00A158A1">
        <w:rPr>
          <w:rFonts w:ascii="Times New Roman" w:hAnsi="Times New Roman"/>
          <w:sz w:val="24"/>
        </w:rPr>
        <w:t xml:space="preserve">  This document should be acknowledged by the supervisor and the employee and provided to the Office of Human Resources for retention in their personnel record.</w:t>
      </w:r>
    </w:p>
    <w:p w:rsidR="00087625" w:rsidRPr="00A158A1" w:rsidRDefault="00087625" w:rsidP="001077CA">
      <w:pPr>
        <w:pStyle w:val="PlainText"/>
        <w:ind w:left="720"/>
        <w:jc w:val="both"/>
        <w:rPr>
          <w:rFonts w:ascii="Times New Roman" w:hAnsi="Times New Roman"/>
          <w:sz w:val="24"/>
        </w:rPr>
      </w:pPr>
    </w:p>
    <w:p w:rsidR="00087625" w:rsidRDefault="00087625" w:rsidP="001077CA">
      <w:pPr>
        <w:pStyle w:val="PlainText"/>
        <w:jc w:val="both"/>
        <w:rPr>
          <w:rFonts w:ascii="Times New Roman" w:hAnsi="Times New Roman"/>
          <w:sz w:val="24"/>
        </w:rPr>
      </w:pPr>
      <w:r w:rsidRPr="00CF3900">
        <w:rPr>
          <w:rFonts w:ascii="Times New Roman" w:hAnsi="Times New Roman"/>
          <w:b/>
          <w:sz w:val="24"/>
          <w:u w:val="single"/>
        </w:rPr>
        <w:t>Internal Alignments</w:t>
      </w:r>
      <w:r w:rsidRPr="00CF3900">
        <w:rPr>
          <w:rFonts w:ascii="Times New Roman" w:hAnsi="Times New Roman"/>
          <w:sz w:val="24"/>
          <w:u w:val="single"/>
        </w:rPr>
        <w:t xml:space="preserve"> </w:t>
      </w:r>
      <w:r w:rsidRPr="00CF3900">
        <w:rPr>
          <w:rFonts w:ascii="Times New Roman" w:hAnsi="Times New Roman"/>
          <w:b/>
          <w:sz w:val="24"/>
          <w:u w:val="single"/>
        </w:rPr>
        <w:t>and Market Study Adjustments</w:t>
      </w:r>
      <w:r>
        <w:rPr>
          <w:rFonts w:ascii="Times New Roman" w:hAnsi="Times New Roman"/>
          <w:b/>
          <w:sz w:val="24"/>
        </w:rPr>
        <w:t xml:space="preserve"> </w:t>
      </w:r>
      <w:r>
        <w:rPr>
          <w:rFonts w:ascii="Times New Roman" w:hAnsi="Times New Roman"/>
          <w:sz w:val="24"/>
        </w:rPr>
        <w:t xml:space="preserve">– Periodic salary studies may be completed by the Office of Human Resources and compensation increase recommendations made to </w:t>
      </w:r>
      <w:r w:rsidRPr="00A158A1">
        <w:rPr>
          <w:rFonts w:ascii="Times New Roman" w:hAnsi="Times New Roman"/>
          <w:sz w:val="24"/>
        </w:rPr>
        <w:t xml:space="preserve">the </w:t>
      </w:r>
      <w:r w:rsidR="00912C64" w:rsidRPr="00A158A1">
        <w:rPr>
          <w:rFonts w:ascii="Times New Roman" w:hAnsi="Times New Roman"/>
          <w:sz w:val="24"/>
        </w:rPr>
        <w:t>appropriate senior leadership</w:t>
      </w:r>
      <w:r w:rsidRPr="00A158A1">
        <w:rPr>
          <w:rFonts w:ascii="Times New Roman" w:hAnsi="Times New Roman"/>
          <w:sz w:val="24"/>
        </w:rPr>
        <w:t xml:space="preserve"> relative to the</w:t>
      </w:r>
      <w:r>
        <w:rPr>
          <w:rFonts w:ascii="Times New Roman" w:hAnsi="Times New Roman"/>
          <w:sz w:val="24"/>
        </w:rPr>
        <w:t xml:space="preserve"> positioning of roles in relation to the internal or external market. If it is determined that a position or class of positions is out of line internally or with the existing market, impacted employee salaries may be adjusted.</w:t>
      </w:r>
    </w:p>
    <w:p w:rsidR="00087625" w:rsidRDefault="00087625" w:rsidP="001077CA">
      <w:pPr>
        <w:pStyle w:val="PlainText"/>
        <w:jc w:val="both"/>
        <w:rPr>
          <w:rFonts w:ascii="Times New Roman" w:hAnsi="Times New Roman"/>
          <w:b/>
          <w:sz w:val="24"/>
        </w:rPr>
      </w:pPr>
    </w:p>
    <w:p w:rsidR="00CF3900" w:rsidRDefault="00087625" w:rsidP="001077CA">
      <w:pPr>
        <w:pStyle w:val="PlainText"/>
        <w:jc w:val="both"/>
        <w:rPr>
          <w:rFonts w:ascii="Times New Roman" w:hAnsi="Times New Roman"/>
          <w:sz w:val="24"/>
        </w:rPr>
      </w:pPr>
      <w:r w:rsidRPr="00CF3900">
        <w:rPr>
          <w:rFonts w:ascii="Times New Roman" w:hAnsi="Times New Roman"/>
          <w:b/>
          <w:sz w:val="24"/>
          <w:u w:val="single"/>
        </w:rPr>
        <w:t>Reclassifications</w:t>
      </w:r>
      <w:r>
        <w:rPr>
          <w:rFonts w:ascii="Times New Roman" w:hAnsi="Times New Roman"/>
          <w:sz w:val="24"/>
        </w:rPr>
        <w:t xml:space="preserve"> – </w:t>
      </w:r>
      <w:r w:rsidR="00CF3900">
        <w:rPr>
          <w:rFonts w:ascii="Times New Roman" w:hAnsi="Times New Roman"/>
          <w:sz w:val="24"/>
        </w:rPr>
        <w:t xml:space="preserve">It is the department administrator’s responsibility to properly plan for growth and development during the planning cycle. </w:t>
      </w:r>
      <w:r w:rsidR="00CF3900" w:rsidRPr="00A158A1">
        <w:rPr>
          <w:rFonts w:ascii="Times New Roman" w:hAnsi="Times New Roman"/>
          <w:sz w:val="24"/>
        </w:rPr>
        <w:t xml:space="preserve">Reclassifications of positions </w:t>
      </w:r>
      <w:r w:rsidR="00912C64" w:rsidRPr="00A158A1">
        <w:rPr>
          <w:rFonts w:ascii="Times New Roman" w:hAnsi="Times New Roman"/>
          <w:sz w:val="24"/>
        </w:rPr>
        <w:t xml:space="preserve">requiring new budget dollars are requested </w:t>
      </w:r>
      <w:r w:rsidR="00CF3900" w:rsidRPr="00A158A1">
        <w:rPr>
          <w:rFonts w:ascii="Times New Roman" w:hAnsi="Times New Roman"/>
          <w:sz w:val="24"/>
        </w:rPr>
        <w:t>during the budget and planning cycle</w:t>
      </w:r>
      <w:r w:rsidR="00912C64" w:rsidRPr="00A158A1">
        <w:rPr>
          <w:rFonts w:ascii="Times New Roman" w:hAnsi="Times New Roman"/>
          <w:sz w:val="24"/>
        </w:rPr>
        <w:t xml:space="preserve">; these position requests must have conceptual support of the division’s senior leadership and a preliminary review </w:t>
      </w:r>
      <w:r w:rsidR="00A158A1">
        <w:rPr>
          <w:rFonts w:ascii="Times New Roman" w:hAnsi="Times New Roman"/>
          <w:sz w:val="24"/>
        </w:rPr>
        <w:t>by</w:t>
      </w:r>
      <w:r w:rsidR="00912C64" w:rsidRPr="00A158A1">
        <w:rPr>
          <w:rFonts w:ascii="Times New Roman" w:hAnsi="Times New Roman"/>
          <w:sz w:val="24"/>
        </w:rPr>
        <w:t xml:space="preserve"> the Office of Human Resources Manager of </w:t>
      </w:r>
      <w:r w:rsidR="00A158A1">
        <w:rPr>
          <w:rFonts w:ascii="Times New Roman" w:hAnsi="Times New Roman"/>
          <w:sz w:val="24"/>
        </w:rPr>
        <w:t>Classification and Compensation.</w:t>
      </w:r>
      <w:r w:rsidR="00CF3900" w:rsidRPr="00A158A1">
        <w:rPr>
          <w:rFonts w:ascii="Times New Roman" w:hAnsi="Times New Roman"/>
          <w:sz w:val="24"/>
        </w:rPr>
        <w:t xml:space="preserve"> </w:t>
      </w:r>
      <w:r w:rsidR="00912C64" w:rsidRPr="00A158A1">
        <w:rPr>
          <w:rFonts w:ascii="Times New Roman" w:hAnsi="Times New Roman"/>
          <w:sz w:val="24"/>
        </w:rPr>
        <w:t xml:space="preserve">Reclassifications utilizing existing budget dollars may be </w:t>
      </w:r>
      <w:r w:rsidR="00A158A1">
        <w:rPr>
          <w:rFonts w:ascii="Times New Roman" w:hAnsi="Times New Roman"/>
          <w:sz w:val="24"/>
        </w:rPr>
        <w:t>submitted for consideration</w:t>
      </w:r>
      <w:r w:rsidR="00912C64" w:rsidRPr="00A158A1">
        <w:rPr>
          <w:rFonts w:ascii="Times New Roman" w:hAnsi="Times New Roman"/>
          <w:sz w:val="24"/>
        </w:rPr>
        <w:t xml:space="preserve"> at any time during the year.</w:t>
      </w:r>
    </w:p>
    <w:p w:rsidR="00A158A1" w:rsidRDefault="00A158A1" w:rsidP="001077CA">
      <w:pPr>
        <w:pStyle w:val="PlainText"/>
        <w:jc w:val="both"/>
        <w:rPr>
          <w:rFonts w:ascii="Times New Roman" w:hAnsi="Times New Roman"/>
          <w:sz w:val="24"/>
        </w:rPr>
      </w:pPr>
    </w:p>
    <w:p w:rsidR="00087625" w:rsidRDefault="00087625" w:rsidP="00A158A1">
      <w:pPr>
        <w:pStyle w:val="PlainText"/>
        <w:jc w:val="both"/>
        <w:rPr>
          <w:rFonts w:ascii="Times New Roman" w:hAnsi="Times New Roman"/>
          <w:sz w:val="24"/>
        </w:rPr>
      </w:pPr>
      <w:r>
        <w:rPr>
          <w:rFonts w:ascii="Times New Roman" w:hAnsi="Times New Roman"/>
          <w:sz w:val="24"/>
        </w:rPr>
        <w:t xml:space="preserve">When an employee's position is reclassified to a position with a higher </w:t>
      </w:r>
      <w:r w:rsidR="00CE5622">
        <w:rPr>
          <w:rFonts w:ascii="Times New Roman" w:hAnsi="Times New Roman"/>
          <w:sz w:val="24"/>
        </w:rPr>
        <w:t xml:space="preserve">or lower </w:t>
      </w:r>
      <w:r>
        <w:rPr>
          <w:rFonts w:ascii="Times New Roman" w:hAnsi="Times New Roman"/>
          <w:sz w:val="24"/>
        </w:rPr>
        <w:t xml:space="preserve">pay grade, the </w:t>
      </w:r>
      <w:r w:rsidR="00CE5622">
        <w:rPr>
          <w:rFonts w:ascii="Times New Roman" w:hAnsi="Times New Roman"/>
          <w:sz w:val="24"/>
        </w:rPr>
        <w:t xml:space="preserve">promotion or demotion procedure for determining pay will be followed. </w:t>
      </w:r>
      <w:r>
        <w:rPr>
          <w:rFonts w:ascii="Times New Roman" w:hAnsi="Times New Roman"/>
          <w:sz w:val="24"/>
        </w:rPr>
        <w:tab/>
      </w:r>
    </w:p>
    <w:sectPr w:rsidR="00087625">
      <w:headerReference w:type="even" r:id="rId7"/>
      <w:headerReference w:type="default" r:id="rId8"/>
      <w:footerReference w:type="even" r:id="rId9"/>
      <w:footerReference w:type="default" r:id="rId10"/>
      <w:headerReference w:type="first" r:id="rId11"/>
      <w:footerReference w:type="first" r:id="rId12"/>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5C4" w:rsidRDefault="008B65C4">
      <w:r>
        <w:separator/>
      </w:r>
    </w:p>
  </w:endnote>
  <w:endnote w:type="continuationSeparator" w:id="0">
    <w:p w:rsidR="008B65C4" w:rsidRDefault="008B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A1" w:rsidRDefault="00A15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A1" w:rsidRDefault="00A158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A1" w:rsidRDefault="00A15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5C4" w:rsidRDefault="008B65C4">
      <w:r>
        <w:separator/>
      </w:r>
    </w:p>
  </w:footnote>
  <w:footnote w:type="continuationSeparator" w:id="0">
    <w:p w:rsidR="008B65C4" w:rsidRDefault="008B6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A1" w:rsidRDefault="00A15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900" w:rsidRDefault="00CF3900">
    <w:pPr>
      <w:pStyle w:val="Header"/>
    </w:pPr>
    <w:r>
      <w:t>College Operating Procedures Manual</w:t>
    </w:r>
  </w:p>
  <w:p w:rsidR="00CF3900" w:rsidRDefault="00CF3900">
    <w:pPr>
      <w:pStyle w:val="Header"/>
    </w:pPr>
    <w:r>
      <w:t>Salary Administration</w:t>
    </w:r>
  </w:p>
  <w:p w:rsidR="00CF3900" w:rsidRDefault="00CF3900">
    <w:pPr>
      <w:pStyle w:val="Header"/>
      <w:rPr>
        <w:rStyle w:val="PageNumber"/>
      </w:rPr>
    </w:pPr>
    <w:r>
      <w:t xml:space="preserve">Page </w:t>
    </w:r>
    <w:r w:rsidR="005A7499">
      <w:fldChar w:fldCharType="begin"/>
    </w:r>
    <w:r w:rsidR="005A7499">
      <w:instrText xml:space="preserve"> PAGE   \* MERGEFORMAT </w:instrText>
    </w:r>
    <w:r w:rsidR="005A7499">
      <w:fldChar w:fldCharType="separate"/>
    </w:r>
    <w:r w:rsidR="00560DEC">
      <w:rPr>
        <w:noProof/>
      </w:rPr>
      <w:t>4</w:t>
    </w:r>
    <w:r w:rsidR="005A7499">
      <w:rPr>
        <w:noProof/>
      </w:rPr>
      <w:fldChar w:fldCharType="end"/>
    </w:r>
  </w:p>
  <w:p w:rsidR="00CF3900" w:rsidRDefault="00CF3900">
    <w:pPr>
      <w:pStyle w:val="Header"/>
      <w:rPr>
        <w:rStyle w:val="PageNumber"/>
      </w:rPr>
    </w:pPr>
  </w:p>
  <w:p w:rsidR="00CF3900" w:rsidRDefault="00CF3900">
    <w:pPr>
      <w:pStyle w:val="Header"/>
    </w:pPr>
  </w:p>
  <w:p w:rsidR="00CF3900" w:rsidRDefault="00CF3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2"/>
    </w:tblGrid>
    <w:tr w:rsidR="00CF3900" w:rsidTr="005A7499">
      <w:trPr>
        <w:trHeight w:val="1433"/>
      </w:trPr>
      <w:tc>
        <w:tcPr>
          <w:tcW w:w="5868" w:type="dxa"/>
        </w:tcPr>
        <w:p w:rsidR="00CF3900" w:rsidRDefault="00CF3900">
          <w:pPr>
            <w:pStyle w:val="Header"/>
            <w:rPr>
              <w:b/>
              <w:bCs/>
              <w:sz w:val="16"/>
              <w:szCs w:val="16"/>
            </w:rPr>
          </w:pPr>
        </w:p>
        <w:p w:rsidR="005A7499" w:rsidRDefault="005A7499">
          <w:pPr>
            <w:pStyle w:val="Header"/>
            <w:rPr>
              <w:b/>
              <w:bCs/>
              <w:sz w:val="16"/>
              <w:szCs w:val="16"/>
            </w:rPr>
          </w:pPr>
        </w:p>
        <w:p w:rsidR="005A7499" w:rsidRDefault="005A7499" w:rsidP="005A7499"/>
        <w:p w:rsidR="00CF3900" w:rsidRPr="005A7499" w:rsidRDefault="005A7499" w:rsidP="005A7499">
          <w:pPr>
            <w:ind w:firstLine="720"/>
          </w:pPr>
          <w:r>
            <w:rPr>
              <w:b/>
              <w:bCs/>
              <w:sz w:val="28"/>
            </w:rPr>
            <w:t>College Operating Procedures (COP)</w:t>
          </w:r>
        </w:p>
      </w:tc>
      <w:tc>
        <w:tcPr>
          <w:tcW w:w="3708" w:type="dxa"/>
        </w:tcPr>
        <w:p w:rsidR="00CF3900" w:rsidRDefault="005A7499" w:rsidP="005A7499">
          <w:pPr>
            <w:pStyle w:val="Header"/>
            <w:rPr>
              <w:b/>
              <w:bCs/>
              <w:sz w:val="28"/>
            </w:rPr>
          </w:pPr>
          <w:r>
            <w:rPr>
              <w:b/>
              <w:noProof/>
              <w:sz w:val="28"/>
            </w:rPr>
            <w:drawing>
              <wp:inline distT="0" distB="0" distL="0" distR="0">
                <wp:extent cx="1885950" cy="6667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inline>
            </w:drawing>
          </w:r>
        </w:p>
        <w:p w:rsidR="00CF3900" w:rsidRDefault="00CF3900" w:rsidP="005A7499">
          <w:pPr>
            <w:pStyle w:val="Header"/>
            <w:tabs>
              <w:tab w:val="left" w:pos="762"/>
            </w:tabs>
            <w:rPr>
              <w:b/>
              <w:bCs/>
              <w:sz w:val="28"/>
            </w:rPr>
          </w:pPr>
          <w:r>
            <w:rPr>
              <w:b/>
              <w:bCs/>
              <w:sz w:val="28"/>
            </w:rPr>
            <w:tab/>
          </w:r>
        </w:p>
      </w:tc>
    </w:tr>
  </w:tbl>
  <w:p w:rsidR="00CF3900" w:rsidRDefault="00CF3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2">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CC1FBE"/>
    <w:multiLevelType w:val="singleLevel"/>
    <w:tmpl w:val="04090015"/>
    <w:lvl w:ilvl="0">
      <w:start w:val="1"/>
      <w:numFmt w:val="upperLetter"/>
      <w:lvlText w:val="%1."/>
      <w:lvlJc w:val="left"/>
      <w:pPr>
        <w:tabs>
          <w:tab w:val="num" w:pos="360"/>
        </w:tabs>
        <w:ind w:left="360" w:hanging="360"/>
      </w:pPr>
    </w:lvl>
  </w:abstractNum>
  <w:abstractNum w:abstractNumId="4">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950895"/>
    <w:multiLevelType w:val="hybridMultilevel"/>
    <w:tmpl w:val="D5C0D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075404"/>
    <w:multiLevelType w:val="hybridMultilevel"/>
    <w:tmpl w:val="EF7A9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1140103"/>
    <w:multiLevelType w:val="singleLevel"/>
    <w:tmpl w:val="04090015"/>
    <w:lvl w:ilvl="0">
      <w:start w:val="2"/>
      <w:numFmt w:val="upperLetter"/>
      <w:lvlText w:val="%1."/>
      <w:lvlJc w:val="left"/>
      <w:pPr>
        <w:tabs>
          <w:tab w:val="num" w:pos="360"/>
        </w:tabs>
        <w:ind w:left="360" w:hanging="360"/>
      </w:pPr>
      <w:rPr>
        <w:rFonts w:hint="default"/>
      </w:rPr>
    </w:lvl>
  </w:abstractNum>
  <w:abstractNum w:abstractNumId="13">
    <w:nsid w:val="6322640A"/>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nsid w:val="6EF87FD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7475043E"/>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4F7C3E"/>
    <w:multiLevelType w:val="hybridMultilevel"/>
    <w:tmpl w:val="750E19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
  </w:num>
  <w:num w:numId="4">
    <w:abstractNumId w:val="0"/>
  </w:num>
  <w:num w:numId="5">
    <w:abstractNumId w:val="2"/>
  </w:num>
  <w:num w:numId="6">
    <w:abstractNumId w:val="11"/>
  </w:num>
  <w:num w:numId="7">
    <w:abstractNumId w:val="4"/>
  </w:num>
  <w:num w:numId="8">
    <w:abstractNumId w:val="5"/>
  </w:num>
  <w:num w:numId="9">
    <w:abstractNumId w:val="17"/>
  </w:num>
  <w:num w:numId="10">
    <w:abstractNumId w:val="10"/>
  </w:num>
  <w:num w:numId="11">
    <w:abstractNumId w:val="16"/>
  </w:num>
  <w:num w:numId="12">
    <w:abstractNumId w:val="13"/>
  </w:num>
  <w:num w:numId="13">
    <w:abstractNumId w:val="3"/>
  </w:num>
  <w:num w:numId="14">
    <w:abstractNumId w:val="15"/>
  </w:num>
  <w:num w:numId="15">
    <w:abstractNumId w:val="12"/>
  </w:num>
  <w:num w:numId="16">
    <w:abstractNumId w:val="14"/>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25"/>
    <w:rsid w:val="0000283F"/>
    <w:rsid w:val="00087625"/>
    <w:rsid w:val="001077CA"/>
    <w:rsid w:val="001631D2"/>
    <w:rsid w:val="001A0137"/>
    <w:rsid w:val="001A393D"/>
    <w:rsid w:val="001B027A"/>
    <w:rsid w:val="001B6DBE"/>
    <w:rsid w:val="001D6522"/>
    <w:rsid w:val="0021094D"/>
    <w:rsid w:val="0029620F"/>
    <w:rsid w:val="002A5699"/>
    <w:rsid w:val="002B193B"/>
    <w:rsid w:val="002E5285"/>
    <w:rsid w:val="002E65DB"/>
    <w:rsid w:val="002E6EAE"/>
    <w:rsid w:val="0032086D"/>
    <w:rsid w:val="0034344F"/>
    <w:rsid w:val="003F58AD"/>
    <w:rsid w:val="004064B9"/>
    <w:rsid w:val="004B39E7"/>
    <w:rsid w:val="004C2327"/>
    <w:rsid w:val="004F2C8E"/>
    <w:rsid w:val="005328E7"/>
    <w:rsid w:val="00560DEC"/>
    <w:rsid w:val="00563A6F"/>
    <w:rsid w:val="005A7499"/>
    <w:rsid w:val="005B1805"/>
    <w:rsid w:val="005B24BA"/>
    <w:rsid w:val="005C5637"/>
    <w:rsid w:val="005E24B3"/>
    <w:rsid w:val="00643E15"/>
    <w:rsid w:val="00647F3E"/>
    <w:rsid w:val="006C2644"/>
    <w:rsid w:val="006D55CB"/>
    <w:rsid w:val="00707C25"/>
    <w:rsid w:val="00733542"/>
    <w:rsid w:val="007860A7"/>
    <w:rsid w:val="007B0406"/>
    <w:rsid w:val="007C440E"/>
    <w:rsid w:val="00867B7F"/>
    <w:rsid w:val="00887211"/>
    <w:rsid w:val="008B65C4"/>
    <w:rsid w:val="008D097F"/>
    <w:rsid w:val="00912C64"/>
    <w:rsid w:val="0093009D"/>
    <w:rsid w:val="009546DB"/>
    <w:rsid w:val="009943F2"/>
    <w:rsid w:val="00A158A1"/>
    <w:rsid w:val="00A23C26"/>
    <w:rsid w:val="00A94F10"/>
    <w:rsid w:val="00AB55D5"/>
    <w:rsid w:val="00AD74C7"/>
    <w:rsid w:val="00B33418"/>
    <w:rsid w:val="00B86151"/>
    <w:rsid w:val="00BC2BB3"/>
    <w:rsid w:val="00C80FA1"/>
    <w:rsid w:val="00CE5622"/>
    <w:rsid w:val="00CF3900"/>
    <w:rsid w:val="00D81384"/>
    <w:rsid w:val="00E52D4B"/>
    <w:rsid w:val="00E9151B"/>
    <w:rsid w:val="00EA79A1"/>
    <w:rsid w:val="00EF0DF4"/>
    <w:rsid w:val="00F129F8"/>
    <w:rsid w:val="00F35F48"/>
    <w:rsid w:val="00F52763"/>
    <w:rsid w:val="00FA095D"/>
    <w:rsid w:val="00FF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5:docId w15:val="{78810D46-B6BC-49C3-912B-9292247E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665905"/>
      <w:u w:val="single"/>
    </w:rPr>
  </w:style>
  <w:style w:type="paragraph" w:styleId="NormalWeb">
    <w:name w:val="Normal (Web)"/>
    <w:basedOn w:val="Normal"/>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style>
  <w:style w:type="character" w:styleId="Strong">
    <w:name w:val="Strong"/>
    <w:basedOn w:val="DefaultParagraphFont"/>
    <w:qFormat/>
    <w:rPr>
      <w:b/>
      <w:bCs/>
    </w:rPr>
  </w:style>
  <w:style w:type="paragraph" w:styleId="ListParagraph">
    <w:name w:val="List Paragraph"/>
    <w:basedOn w:val="Normal"/>
    <w:uiPriority w:val="34"/>
    <w:qFormat/>
    <w:rsid w:val="002E5285"/>
    <w:pPr>
      <w:ind w:left="720"/>
    </w:pPr>
  </w:style>
  <w:style w:type="paragraph" w:styleId="Header">
    <w:name w:val="header"/>
    <w:basedOn w:val="Normal"/>
    <w:pPr>
      <w:tabs>
        <w:tab w:val="center" w:pos="4680"/>
        <w:tab w:val="right" w:pos="9360"/>
      </w:tabs>
    </w:pPr>
  </w:style>
  <w:style w:type="character" w:customStyle="1" w:styleId="CharChar2">
    <w:name w:val="Char Char2"/>
    <w:basedOn w:val="DefaultParagraphFont"/>
    <w:rPr>
      <w:sz w:val="24"/>
      <w:szCs w:val="24"/>
    </w:rPr>
  </w:style>
  <w:style w:type="paragraph" w:styleId="Footer">
    <w:name w:val="footer"/>
    <w:basedOn w:val="Normal"/>
    <w:pPr>
      <w:tabs>
        <w:tab w:val="center" w:pos="4680"/>
        <w:tab w:val="right" w:pos="9360"/>
      </w:tabs>
    </w:pPr>
  </w:style>
  <w:style w:type="character" w:customStyle="1" w:styleId="CharChar1">
    <w:name w:val="Char Char1"/>
    <w:basedOn w:val="DefaultParagraphFont"/>
    <w:rPr>
      <w:sz w:val="24"/>
      <w:szCs w:val="24"/>
    </w:rPr>
  </w:style>
  <w:style w:type="paragraph" w:styleId="NoSpacing">
    <w:name w:val="No Spacing"/>
    <w:qFormat/>
    <w:rPr>
      <w:rFonts w:ascii="Calibri" w:hAnsi="Calibri"/>
      <w:sz w:val="22"/>
      <w:szCs w:val="22"/>
    </w:rPr>
  </w:style>
  <w:style w:type="character" w:customStyle="1" w:styleId="NoSpacingChar">
    <w:name w:val="No Spacing Char"/>
    <w:basedOn w:val="DefaultParagraphFont"/>
    <w:rPr>
      <w:rFonts w:ascii="Calibri" w:hAnsi="Calibri"/>
      <w:sz w:val="22"/>
      <w:szCs w:val="22"/>
      <w:lang w:val="en-US" w:eastAsia="en-US" w:bidi="ar-SA"/>
    </w:rPr>
  </w:style>
  <w:style w:type="paragraph" w:styleId="BalloonText">
    <w:name w:val="Balloon Text"/>
    <w:basedOn w:val="Normal"/>
    <w:rPr>
      <w:rFonts w:ascii="Tahoma" w:hAnsi="Tahoma" w:cs="Tahoma"/>
      <w:sz w:val="16"/>
      <w:szCs w:val="16"/>
    </w:rPr>
  </w:style>
  <w:style w:type="character" w:customStyle="1" w:styleId="CharChar">
    <w:name w:val="Char Char"/>
    <w:basedOn w:val="DefaultParagraphFont"/>
    <w:rPr>
      <w:rFonts w:ascii="Tahoma" w:hAnsi="Tahoma" w:cs="Tahoma"/>
      <w:sz w:val="16"/>
      <w:szCs w:val="16"/>
    </w:rPr>
  </w:style>
  <w:style w:type="character" w:styleId="PageNumber">
    <w:name w:val="page number"/>
    <w:basedOn w:val="DefaultParagraphFont"/>
  </w:style>
  <w:style w:type="paragraph" w:styleId="PlainText">
    <w:name w:val="Plain Text"/>
    <w:basedOn w:val="Normal"/>
    <w:rPr>
      <w:rFonts w:ascii="Courier New" w:hAnsi="Courier New"/>
      <w:sz w:val="20"/>
      <w:szCs w:val="20"/>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1655</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Melissa E. Raney</cp:lastModifiedBy>
  <cp:revision>3</cp:revision>
  <cp:lastPrinted>2019-11-04T20:40:00Z</cp:lastPrinted>
  <dcterms:created xsi:type="dcterms:W3CDTF">2019-12-04T21:22:00Z</dcterms:created>
  <dcterms:modified xsi:type="dcterms:W3CDTF">2020-01-16T17:19:00Z</dcterms:modified>
</cp:coreProperties>
</file>