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191C68" w:rsidP="001E131B">
      <w:pPr>
        <w:widowControl/>
        <w:tabs>
          <w:tab w:val="left" w:pos="720"/>
          <w:tab w:val="left" w:pos="1170"/>
        </w:tabs>
        <w:ind w:left="720"/>
        <w:rPr>
          <w:rFonts w:ascii="Calibri" w:hAnsi="Calibri" w:cs="Arial"/>
          <w:b/>
          <w:sz w:val="22"/>
          <w:szCs w:val="22"/>
        </w:rPr>
      </w:pPr>
      <w:r w:rsidRPr="007F3FB4">
        <w:rPr>
          <w:rFonts w:ascii="Calibri" w:hAnsi="Calibri" w:cs="Arial"/>
          <w:b/>
          <w:noProof/>
          <w:sz w:val="22"/>
          <w:szCs w:val="22"/>
        </w:rPr>
        <w:t>ACG 3024 ACCOUNTING FOR NON-ACCOUNTING MAJORS</w:t>
      </w:r>
      <w:proofErr w:type="gramStart"/>
      <w:r w:rsidRPr="007F3FB4">
        <w:rPr>
          <w:rFonts w:ascii="Calibri" w:hAnsi="Calibri" w:cs="Arial"/>
          <w:b/>
          <w:sz w:val="22"/>
          <w:szCs w:val="22"/>
        </w:rPr>
        <w:t xml:space="preserve">   (</w:t>
      </w:r>
      <w:proofErr w:type="gramEnd"/>
      <w:r w:rsidRPr="007F3FB4">
        <w:rPr>
          <w:rFonts w:ascii="Calibri" w:hAnsi="Calibri" w:cs="Arial"/>
          <w:b/>
          <w:noProof/>
          <w:sz w:val="22"/>
          <w:szCs w:val="22"/>
        </w:rPr>
        <w:t>3</w:t>
      </w:r>
      <w:r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191C68" w:rsidP="00F33F02">
      <w:pPr>
        <w:pStyle w:val="BodyTextIndent2"/>
        <w:widowControl/>
        <w:tabs>
          <w:tab w:val="left" w:pos="720"/>
          <w:tab w:val="left" w:pos="1170"/>
        </w:tabs>
        <w:spacing w:after="0" w:line="276" w:lineRule="auto"/>
        <w:ind w:left="720"/>
        <w:rPr>
          <w:rFonts w:ascii="Calibri" w:hAnsi="Calibri" w:cs="Arial"/>
          <w:noProof/>
          <w:sz w:val="22"/>
          <w:szCs w:val="22"/>
        </w:rPr>
      </w:pPr>
      <w:r w:rsidRPr="007F3FB4">
        <w:rPr>
          <w:rFonts w:ascii="Calibri" w:hAnsi="Calibri" w:cs="Arial"/>
          <w:noProof/>
          <w:sz w:val="22"/>
          <w:szCs w:val="22"/>
        </w:rPr>
        <w:t>This course addresses the use of accounting information by non-financial managers. Emphasis is placed on the interpretation of accounting information and the language of financial accounting to effectively participate in activities such as planning, investment, control, and managerial decision making.</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191C68" w:rsidRPr="007F3FB4" w:rsidRDefault="00CF478C" w:rsidP="00927493">
      <w:pPr>
        <w:ind w:left="720"/>
        <w:rPr>
          <w:rStyle w:val="Strong"/>
          <w:rFonts w:ascii="Calibri" w:hAnsi="Calibri"/>
          <w:b w:val="0"/>
          <w:iCs/>
          <w:sz w:val="22"/>
          <w:szCs w:val="22"/>
        </w:rPr>
      </w:pPr>
      <w:r w:rsidRPr="007F3FB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F478C" w:rsidRPr="007F3FB4" w:rsidRDefault="00CF478C"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The Role of Accounting in Business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Basic Accounting Concepts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 xml:space="preserve">Accrual Accounting Concepts </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Sarbanes-Oxley and Internal Controls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 xml:space="preserve">Accounting for Merchandising Businesses </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Accounting for Manufacturing Businesses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Assets, Liabilities, and Owner Equity</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Financial Statement Analysis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Cost Behavior and Cost-Volume-Profit Analysis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Differential Analysis and Product Pricing</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Budgeting and Standard Cost Systems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Pr="007F3FB4">
        <w:rPr>
          <w:rFonts w:ascii="Calibri" w:hAnsi="Calibri" w:cs="Arial"/>
          <w:noProof/>
          <w:sz w:val="22"/>
          <w:szCs w:val="22"/>
        </w:rPr>
        <w:t>Capital Investment Analysis</w:t>
      </w:r>
    </w:p>
    <w:p w:rsidR="00191C68" w:rsidRPr="007F3FB4" w:rsidRDefault="00191C68" w:rsidP="0023397D">
      <w:pPr>
        <w:tabs>
          <w:tab w:val="left" w:pos="1080"/>
        </w:tabs>
        <w:ind w:left="1080" w:hanging="360"/>
        <w:rPr>
          <w:rFonts w:ascii="Calibri" w:hAnsi="Calibri" w:cs="Arial"/>
          <w:sz w:val="22"/>
          <w:szCs w:val="22"/>
        </w:rPr>
      </w:pPr>
    </w:p>
    <w:p w:rsidR="00855A09" w:rsidRPr="00BA3BB9" w:rsidRDefault="00855A09" w:rsidP="00855A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5A09" w:rsidRDefault="00855A09" w:rsidP="00855A09">
      <w:pPr>
        <w:rPr>
          <w:rFonts w:ascii="Calibri" w:hAnsi="Calibri" w:cs="Arial"/>
          <w:b/>
          <w:sz w:val="22"/>
          <w:szCs w:val="22"/>
          <w:u w:val="single"/>
        </w:rPr>
      </w:pPr>
    </w:p>
    <w:p w:rsidR="00855A09" w:rsidRPr="009A197E" w:rsidRDefault="00855A09" w:rsidP="00855A09">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5A09" w:rsidRPr="009A197E" w:rsidRDefault="00855A09" w:rsidP="00855A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55A09" w:rsidRDefault="00855A09" w:rsidP="00855A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5A09" w:rsidRDefault="00855A09" w:rsidP="00855A09">
      <w:pPr>
        <w:ind w:left="720"/>
        <w:rPr>
          <w:rFonts w:ascii="Garamond" w:hAnsi="Garamond"/>
          <w:color w:val="000000"/>
          <w:sz w:val="22"/>
          <w:szCs w:val="22"/>
        </w:rPr>
      </w:pPr>
    </w:p>
    <w:p w:rsidR="00855A09" w:rsidRPr="0036367B" w:rsidRDefault="00855A09" w:rsidP="00855A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5A09" w:rsidRPr="0036367B" w:rsidRDefault="00855A09" w:rsidP="00855A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5A09" w:rsidRPr="0036367B" w:rsidRDefault="00855A09" w:rsidP="00855A09">
      <w:pPr>
        <w:shd w:val="clear" w:color="auto" w:fill="FFFFFF"/>
        <w:rPr>
          <w:rFonts w:ascii="Calibri" w:hAnsi="Calibri"/>
          <w:color w:val="000000"/>
          <w:sz w:val="22"/>
          <w:szCs w:val="24"/>
        </w:rPr>
      </w:pPr>
      <w:r w:rsidRPr="0036367B">
        <w:rPr>
          <w:rFonts w:ascii="Calibri" w:hAnsi="Calibri"/>
          <w:color w:val="000000"/>
          <w:sz w:val="22"/>
          <w:szCs w:val="24"/>
        </w:rPr>
        <w:t> </w:t>
      </w:r>
    </w:p>
    <w:p w:rsidR="00855A09" w:rsidRPr="00750AFF" w:rsidRDefault="00855A09" w:rsidP="00855A0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55A09" w:rsidRPr="0036367B" w:rsidRDefault="00855A09" w:rsidP="00855A09">
      <w:pPr>
        <w:shd w:val="clear" w:color="auto" w:fill="FFFFFF"/>
        <w:rPr>
          <w:rFonts w:ascii="Calibri" w:hAnsi="Calibri"/>
          <w:color w:val="000000"/>
          <w:sz w:val="22"/>
          <w:szCs w:val="24"/>
        </w:rPr>
      </w:pPr>
    </w:p>
    <w:p w:rsidR="00855A09" w:rsidRDefault="00855A09" w:rsidP="00855A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5A09" w:rsidRDefault="00855A09" w:rsidP="00855A09">
      <w:pPr>
        <w:shd w:val="clear" w:color="auto" w:fill="FFFFFF"/>
        <w:rPr>
          <w:rFonts w:ascii="Calibri" w:hAnsi="Calibri"/>
          <w:color w:val="000000"/>
          <w:sz w:val="22"/>
          <w:szCs w:val="24"/>
        </w:rPr>
      </w:pPr>
    </w:p>
    <w:p w:rsidR="00855A09" w:rsidRPr="00855A09" w:rsidRDefault="00855A09" w:rsidP="00855A09">
      <w:pPr>
        <w:pStyle w:val="Default"/>
        <w:numPr>
          <w:ilvl w:val="0"/>
          <w:numId w:val="5"/>
        </w:numPr>
        <w:rPr>
          <w:sz w:val="22"/>
          <w:szCs w:val="22"/>
        </w:rPr>
      </w:pPr>
      <w:r w:rsidRPr="00855A09">
        <w:rPr>
          <w:sz w:val="22"/>
          <w:szCs w:val="22"/>
        </w:rPr>
        <w:t xml:space="preserve">Calculate financial ratios and apply in the analysis of financial performance. </w:t>
      </w:r>
    </w:p>
    <w:p w:rsidR="00855A09" w:rsidRPr="0036367B" w:rsidRDefault="00855A09" w:rsidP="00855A09">
      <w:pPr>
        <w:shd w:val="clear" w:color="auto" w:fill="FFFFFF"/>
        <w:rPr>
          <w:rFonts w:ascii="Calibri" w:hAnsi="Calibri"/>
          <w:color w:val="000000"/>
          <w:sz w:val="22"/>
          <w:szCs w:val="24"/>
        </w:rPr>
      </w:pPr>
    </w:p>
    <w:p w:rsidR="00855A09" w:rsidRPr="00855A09" w:rsidRDefault="00855A09" w:rsidP="00855A09">
      <w:pPr>
        <w:shd w:val="clear" w:color="auto" w:fill="FFFFFF"/>
        <w:spacing w:line="360" w:lineRule="auto"/>
        <w:ind w:firstLine="720"/>
        <w:rPr>
          <w:rFonts w:asciiTheme="minorHAnsi" w:hAnsiTheme="minorHAnsi" w:cstheme="minorHAnsi"/>
          <w:sz w:val="22"/>
        </w:rPr>
      </w:pPr>
      <w:r w:rsidRPr="00855A09">
        <w:rPr>
          <w:rFonts w:asciiTheme="minorHAnsi" w:hAnsiTheme="minorHAnsi" w:cstheme="minorHAnsi"/>
          <w:b/>
          <w:color w:val="000000"/>
          <w:sz w:val="22"/>
          <w:szCs w:val="24"/>
        </w:rPr>
        <w:t>B</w:t>
      </w:r>
      <w:r w:rsidRPr="00855A09">
        <w:rPr>
          <w:rFonts w:asciiTheme="minorHAnsi" w:hAnsiTheme="minorHAnsi" w:cstheme="minorHAnsi"/>
          <w:b/>
          <w:color w:val="000000"/>
          <w:sz w:val="22"/>
          <w:szCs w:val="24"/>
        </w:rPr>
        <w:t>.</w:t>
      </w:r>
      <w:r w:rsidRPr="00855A09">
        <w:rPr>
          <w:rFonts w:asciiTheme="minorHAnsi" w:hAnsiTheme="minorHAnsi" w:cstheme="minorHAnsi"/>
          <w:color w:val="000000"/>
          <w:sz w:val="22"/>
          <w:szCs w:val="24"/>
        </w:rPr>
        <w:t xml:space="preserve"> </w:t>
      </w:r>
      <w:r w:rsidRPr="00855A09">
        <w:rPr>
          <w:rFonts w:asciiTheme="minorHAnsi" w:hAnsiTheme="minorHAnsi" w:cstheme="minorHAnsi"/>
          <w:b/>
          <w:sz w:val="22"/>
        </w:rPr>
        <w:t>Other Course Objectives/Standards</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Prepare financial statements for both profit and not for profit organizations by using accounting terminology and concepts.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Evaluate ethical practices and use them in establishing a viable financial management strategy.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Analyze and interpret financial statements for both profit and not for profit organizations.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Apply decision making techniques using cost-volume-profit and differential analysis.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Prepare and explain an operating budget and a capital expense budget.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Employ the relationships existing between planning, directing, budgeting in establishing financial controls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Use the tools of managerial accounting to communicate business decisions by analyzing case studies. </w:t>
      </w:r>
    </w:p>
    <w:p w:rsidR="00855A09" w:rsidRPr="00855A09" w:rsidRDefault="00855A09" w:rsidP="00855A09">
      <w:pPr>
        <w:pStyle w:val="Default"/>
        <w:numPr>
          <w:ilvl w:val="0"/>
          <w:numId w:val="5"/>
        </w:numPr>
        <w:rPr>
          <w:rFonts w:asciiTheme="minorHAnsi" w:hAnsiTheme="minorHAnsi" w:cstheme="minorHAnsi"/>
          <w:sz w:val="22"/>
          <w:szCs w:val="22"/>
        </w:rPr>
      </w:pPr>
      <w:r w:rsidRPr="00855A09">
        <w:rPr>
          <w:rFonts w:asciiTheme="minorHAnsi" w:hAnsiTheme="minorHAnsi" w:cstheme="minorHAnsi"/>
          <w:sz w:val="22"/>
          <w:szCs w:val="22"/>
        </w:rPr>
        <w:t xml:space="preserve">Apply accounting principles and procedures within the context of the students’ major discipline concentration. </w:t>
      </w:r>
    </w:p>
    <w:p w:rsidR="00592E03" w:rsidRPr="007F3FB4" w:rsidRDefault="00592E03"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7F3FB4">
        <w:rPr>
          <w:rFonts w:ascii="Calibri" w:hAnsi="Calibri"/>
          <w:sz w:val="22"/>
          <w:szCs w:val="22"/>
        </w:rPr>
        <w:lastRenderedPageBreak/>
        <w:t xml:space="preserve">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Pr="007F3FB4" w:rsidRDefault="0019349D" w:rsidP="00DA66CF">
      <w:pPr>
        <w:tabs>
          <w:tab w:val="left" w:pos="720"/>
        </w:tabs>
        <w:ind w:left="720"/>
        <w:rPr>
          <w:rFonts w:ascii="Calibri" w:hAnsi="Calibri" w:cs="Arial"/>
          <w:bCs/>
          <w:iCs/>
          <w:sz w:val="22"/>
          <w:szCs w:val="22"/>
        </w:rPr>
        <w:sectPr w:rsidR="0019349D" w:rsidRPr="007F3FB4" w:rsidSect="00855A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B4" w:rsidRDefault="007F3FB4" w:rsidP="003A608C">
      <w:r>
        <w:separator/>
      </w:r>
    </w:p>
  </w:endnote>
  <w:endnote w:type="continuationSeparator" w:id="0">
    <w:p w:rsidR="007F3FB4" w:rsidRDefault="007F3F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55A09">
      <w:rPr>
        <w:rFonts w:ascii="Calibri" w:hAnsi="Calibri" w:cs="Arial"/>
        <w:noProof/>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855A09">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855A09" w:rsidRDefault="00855A09" w:rsidP="00855A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B4" w:rsidRDefault="007F3FB4" w:rsidP="003A608C">
      <w:r>
        <w:separator/>
      </w:r>
    </w:p>
  </w:footnote>
  <w:footnote w:type="continuationSeparator" w:id="0">
    <w:p w:rsidR="007F3FB4" w:rsidRDefault="007F3FB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B1FB3" w:rsidRDefault="00191C68" w:rsidP="00747EF2">
    <w:pPr>
      <w:pStyle w:val="Header"/>
      <w:pBdr>
        <w:bottom w:val="thinThickSmallGap" w:sz="18" w:space="1" w:color="0D0D0D"/>
      </w:pBdr>
      <w:jc w:val="right"/>
    </w:pPr>
    <w:r w:rsidRPr="002E4EB4">
      <w:rPr>
        <w:rFonts w:ascii="Calibri" w:hAnsi="Calibri" w:cs="Arial"/>
        <w:noProof/>
        <w:sz w:val="22"/>
        <w:szCs w:val="22"/>
      </w:rPr>
      <w:t>ACG 3024 ACCOUNTING FOR NON-ACCOUNTING MAJORS</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09" w:rsidRDefault="00855A09" w:rsidP="00855A09">
    <w:pPr>
      <w:pStyle w:val="Header"/>
      <w:jc w:val="right"/>
    </w:pPr>
    <w:r w:rsidRPr="00D55873">
      <w:rPr>
        <w:noProof/>
        <w:lang w:eastAsia="en-US"/>
      </w:rPr>
      <w:drawing>
        <wp:inline distT="0" distB="0" distL="0" distR="0" wp14:anchorId="4105A3D0" wp14:editId="106A49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5A09" w:rsidRDefault="00855A09" w:rsidP="00855A09">
    <w:pPr>
      <w:pStyle w:val="Header"/>
      <w:tabs>
        <w:tab w:val="left" w:pos="3514"/>
      </w:tabs>
    </w:pPr>
    <w:r>
      <w:tab/>
    </w:r>
    <w:r>
      <w:tab/>
    </w:r>
    <w:r>
      <w:tab/>
    </w:r>
  </w:p>
  <w:p w:rsidR="00855A09" w:rsidRDefault="00855A09" w:rsidP="00855A09">
    <w:pPr>
      <w:pStyle w:val="Header"/>
      <w:contextualSpacing/>
      <w:jc w:val="right"/>
      <w:rPr>
        <w:b/>
        <w:color w:val="470A68"/>
        <w:sz w:val="28"/>
      </w:rPr>
    </w:pPr>
    <w:r>
      <w:rPr>
        <w:b/>
        <w:color w:val="470A68"/>
        <w:sz w:val="28"/>
      </w:rPr>
      <w:t>School of Business and Technology</w:t>
    </w:r>
  </w:p>
  <w:p w:rsidR="00191C68" w:rsidRPr="00855A09" w:rsidRDefault="00855A09" w:rsidP="00855A09">
    <w:pPr>
      <w:pStyle w:val="Header"/>
      <w:contextualSpacing/>
      <w:jc w:val="right"/>
      <w:rPr>
        <w:b/>
        <w:color w:val="470A68"/>
        <w:sz w:val="28"/>
      </w:rPr>
    </w:pPr>
    <w:r>
      <w:rPr>
        <w:noProof/>
        <w:lang w:eastAsia="en-US"/>
      </w:rPr>
      <mc:AlternateContent>
        <mc:Choice Requires="wps">
          <w:drawing>
            <wp:inline distT="0" distB="0" distL="0" distR="0" wp14:anchorId="58A175CF" wp14:editId="453179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E371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141AA"/>
    <w:multiLevelType w:val="hybridMultilevel"/>
    <w:tmpl w:val="61161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RXxdH8CBOqjW6W0WwikG3ZL7qlYzD/mVBuo0TP7DbobP0VX52zin2cz26r2nvkJ7WGM3r6Lo3HsnlKLlxqrA==" w:salt="VkTzwY6F8WSJqxF6ElB+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5A09"/>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32A189"/>
  <w15:chartTrackingRefBased/>
  <w15:docId w15:val="{3CE2444F-49E7-4770-8EAF-BEFA3ADA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customStyle="1" w:styleId="Default">
    <w:name w:val="Default"/>
    <w:rsid w:val="00855A09"/>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0366-E1ED-407E-B71C-8772719B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830</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2016-12-13T00:45:00Z</dcterms:created>
  <dcterms:modified xsi:type="dcterms:W3CDTF">2016-12-13T00:45:00Z</dcterms:modified>
</cp:coreProperties>
</file>