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4DE" w:rsidRDefault="004C64DE" w:rsidP="00FC5A7F">
      <w:pPr>
        <w:rPr>
          <w:rFonts w:ascii="Times New Roman" w:hAnsi="Times New Roman" w:cs="Calibri"/>
          <w:b/>
          <w:sz w:val="23"/>
          <w:szCs w:val="23"/>
        </w:rPr>
      </w:pPr>
      <w:r>
        <w:rPr>
          <w:noProof/>
        </w:rPr>
        <w:drawing>
          <wp:anchor distT="0" distB="0" distL="114300" distR="114300" simplePos="0" relativeHeight="251659264" behindDoc="0" locked="0" layoutInCell="1" allowOverlap="1" wp14:anchorId="0089D203" wp14:editId="424A767C">
            <wp:simplePos x="0" y="0"/>
            <wp:positionH relativeFrom="column">
              <wp:posOffset>4524375</wp:posOffset>
            </wp:positionH>
            <wp:positionV relativeFrom="paragraph">
              <wp:posOffset>1270</wp:posOffset>
            </wp:positionV>
            <wp:extent cx="2162175" cy="739140"/>
            <wp:effectExtent l="0" t="0" r="9525" b="3810"/>
            <wp:wrapSquare wrapText="bothSides"/>
            <wp:docPr id="1" name="Picture 1" descr="FSW Nu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 Nurs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2175" cy="7391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C64DE" w:rsidRDefault="004C64DE" w:rsidP="00FC5A7F">
      <w:pPr>
        <w:rPr>
          <w:rFonts w:ascii="Times New Roman" w:hAnsi="Times New Roman" w:cs="Calibri"/>
          <w:b/>
          <w:sz w:val="23"/>
          <w:szCs w:val="23"/>
        </w:rPr>
      </w:pPr>
    </w:p>
    <w:p w:rsidR="004C64DE" w:rsidRDefault="004C64DE" w:rsidP="00FC5A7F">
      <w:pPr>
        <w:rPr>
          <w:rFonts w:ascii="Times New Roman" w:hAnsi="Times New Roman" w:cs="Calibri"/>
          <w:b/>
          <w:sz w:val="23"/>
          <w:szCs w:val="23"/>
        </w:rPr>
      </w:pPr>
    </w:p>
    <w:p w:rsidR="004C64DE" w:rsidRDefault="004C64DE" w:rsidP="00FC5A7F">
      <w:pPr>
        <w:rPr>
          <w:rFonts w:ascii="Times New Roman" w:hAnsi="Times New Roman" w:cs="Calibri"/>
          <w:b/>
          <w:sz w:val="23"/>
          <w:szCs w:val="23"/>
        </w:rPr>
      </w:pPr>
    </w:p>
    <w:p w:rsidR="003B12B7" w:rsidRDefault="003B12B7" w:rsidP="00FC5A7F">
      <w:pPr>
        <w:rPr>
          <w:rFonts w:ascii="Times New Roman" w:hAnsi="Times New Roman" w:cs="Calibri"/>
          <w:b/>
          <w:sz w:val="28"/>
          <w:szCs w:val="28"/>
        </w:rPr>
      </w:pPr>
    </w:p>
    <w:p w:rsidR="003B12B7" w:rsidRDefault="003B12B7" w:rsidP="00FC5A7F">
      <w:pPr>
        <w:rPr>
          <w:rFonts w:ascii="Times New Roman" w:hAnsi="Times New Roman" w:cs="Calibri"/>
          <w:b/>
          <w:sz w:val="28"/>
          <w:szCs w:val="28"/>
        </w:rPr>
      </w:pPr>
    </w:p>
    <w:p w:rsidR="004C64DE" w:rsidRDefault="004C64DE" w:rsidP="003B12B7">
      <w:pPr>
        <w:jc w:val="center"/>
        <w:rPr>
          <w:rFonts w:ascii="Times New Roman" w:hAnsi="Times New Roman" w:cs="Calibri"/>
          <w:b/>
          <w:sz w:val="28"/>
          <w:szCs w:val="28"/>
        </w:rPr>
      </w:pPr>
      <w:r w:rsidRPr="004C64DE">
        <w:rPr>
          <w:rFonts w:ascii="Times New Roman" w:hAnsi="Times New Roman" w:cs="Calibri"/>
          <w:b/>
          <w:sz w:val="28"/>
          <w:szCs w:val="28"/>
        </w:rPr>
        <w:t>Nursing District Meeting Agenda</w:t>
      </w:r>
    </w:p>
    <w:p w:rsidR="009A0324" w:rsidRPr="004C64DE" w:rsidRDefault="009A0324" w:rsidP="003B12B7">
      <w:pPr>
        <w:jc w:val="center"/>
        <w:rPr>
          <w:rFonts w:ascii="Times New Roman" w:hAnsi="Times New Roman" w:cs="Calibri"/>
          <w:b/>
          <w:sz w:val="28"/>
          <w:szCs w:val="28"/>
        </w:rPr>
      </w:pPr>
      <w:r>
        <w:rPr>
          <w:rFonts w:ascii="Times New Roman" w:hAnsi="Times New Roman" w:cs="Calibri"/>
          <w:b/>
          <w:sz w:val="28"/>
          <w:szCs w:val="28"/>
        </w:rPr>
        <w:t>Collier Campus N103</w:t>
      </w:r>
    </w:p>
    <w:p w:rsidR="004C64DE" w:rsidRDefault="004C64DE" w:rsidP="00FC5A7F">
      <w:pPr>
        <w:rPr>
          <w:rFonts w:ascii="Times New Roman" w:hAnsi="Times New Roman" w:cs="Calibri"/>
          <w:b/>
          <w:sz w:val="23"/>
          <w:szCs w:val="23"/>
        </w:rPr>
      </w:pPr>
    </w:p>
    <w:p w:rsidR="00FC5A7F" w:rsidRDefault="00CD713B" w:rsidP="00FC5A7F">
      <w:pPr>
        <w:rPr>
          <w:rFonts w:ascii="Times New Roman" w:hAnsi="Times New Roman" w:cs="Calibri"/>
          <w:sz w:val="23"/>
          <w:szCs w:val="23"/>
        </w:rPr>
      </w:pPr>
      <w:r>
        <w:rPr>
          <w:rFonts w:ascii="Times New Roman" w:hAnsi="Times New Roman" w:cs="Calibri"/>
          <w:b/>
          <w:sz w:val="23"/>
          <w:szCs w:val="23"/>
        </w:rPr>
        <w:t xml:space="preserve">Date: </w:t>
      </w:r>
      <w:r>
        <w:rPr>
          <w:rFonts w:ascii="Times New Roman" w:hAnsi="Times New Roman" w:cs="Calibri"/>
          <w:b/>
          <w:sz w:val="23"/>
          <w:szCs w:val="23"/>
        </w:rPr>
        <w:tab/>
      </w:r>
      <w:r w:rsidR="00060CC7">
        <w:rPr>
          <w:rFonts w:ascii="Times New Roman" w:hAnsi="Times New Roman" w:cs="Calibri"/>
          <w:b/>
          <w:sz w:val="23"/>
          <w:szCs w:val="23"/>
        </w:rPr>
        <w:t>April 13th</w:t>
      </w:r>
      <w:r w:rsidR="0056763C">
        <w:rPr>
          <w:rFonts w:ascii="Times New Roman" w:hAnsi="Times New Roman" w:cs="Calibri"/>
          <w:b/>
          <w:sz w:val="23"/>
          <w:szCs w:val="23"/>
        </w:rPr>
        <w:t>, 2018</w:t>
      </w:r>
      <w:r w:rsidR="00FC5A7F">
        <w:rPr>
          <w:rFonts w:ascii="Times New Roman" w:hAnsi="Times New Roman" w:cs="Calibri"/>
          <w:b/>
          <w:sz w:val="23"/>
          <w:szCs w:val="23"/>
        </w:rPr>
        <w:t xml:space="preserve">   </w:t>
      </w:r>
      <w:r w:rsidR="00BA35FF">
        <w:rPr>
          <w:rFonts w:ascii="Times New Roman" w:hAnsi="Times New Roman" w:cs="Calibri"/>
          <w:b/>
          <w:sz w:val="23"/>
          <w:szCs w:val="23"/>
        </w:rPr>
        <w:tab/>
      </w:r>
      <w:r w:rsidR="00060CC7">
        <w:rPr>
          <w:rFonts w:ascii="Times New Roman" w:hAnsi="Times New Roman" w:cs="Calibri"/>
          <w:b/>
          <w:sz w:val="23"/>
          <w:szCs w:val="23"/>
        </w:rPr>
        <w:t>9:30 – 12</w:t>
      </w:r>
      <w:r w:rsidR="00B36B96">
        <w:rPr>
          <w:rFonts w:ascii="Times New Roman" w:hAnsi="Times New Roman" w:cs="Calibri"/>
          <w:b/>
          <w:sz w:val="23"/>
          <w:szCs w:val="23"/>
        </w:rPr>
        <w:t>:30pm</w:t>
      </w:r>
      <w:r w:rsidR="00060CC7">
        <w:rPr>
          <w:rFonts w:ascii="Times New Roman" w:hAnsi="Times New Roman" w:cs="Calibri"/>
          <w:b/>
          <w:sz w:val="23"/>
          <w:szCs w:val="23"/>
        </w:rPr>
        <w:t xml:space="preserve"> Lunch at 12:30</w:t>
      </w:r>
      <w:r w:rsidR="00BA35FF">
        <w:rPr>
          <w:rFonts w:ascii="Times New Roman" w:hAnsi="Times New Roman" w:cs="Calibri"/>
          <w:b/>
          <w:sz w:val="23"/>
          <w:szCs w:val="23"/>
        </w:rPr>
        <w:tab/>
      </w:r>
      <w:r w:rsidR="00BA35FF">
        <w:rPr>
          <w:rFonts w:ascii="Times New Roman" w:hAnsi="Times New Roman" w:cs="Calibri"/>
          <w:b/>
          <w:sz w:val="23"/>
          <w:szCs w:val="23"/>
        </w:rPr>
        <w:tab/>
      </w:r>
      <w:r w:rsidR="00BA35FF">
        <w:rPr>
          <w:rFonts w:ascii="Times New Roman" w:hAnsi="Times New Roman" w:cs="Calibri"/>
          <w:b/>
          <w:sz w:val="23"/>
          <w:szCs w:val="23"/>
        </w:rPr>
        <w:tab/>
      </w:r>
      <w:r w:rsidR="00BA35FF">
        <w:rPr>
          <w:rFonts w:ascii="Times New Roman" w:hAnsi="Times New Roman" w:cs="Calibri"/>
          <w:b/>
          <w:sz w:val="23"/>
          <w:szCs w:val="23"/>
        </w:rPr>
        <w:tab/>
      </w:r>
      <w:r w:rsidR="00BA35FF">
        <w:rPr>
          <w:rFonts w:ascii="Times New Roman" w:hAnsi="Times New Roman" w:cs="Calibri"/>
          <w:b/>
          <w:sz w:val="23"/>
          <w:szCs w:val="23"/>
        </w:rPr>
        <w:tab/>
      </w:r>
      <w:r w:rsidR="001C0766">
        <w:rPr>
          <w:rFonts w:ascii="Times New Roman" w:hAnsi="Times New Roman" w:cs="Calibri"/>
          <w:b/>
          <w:sz w:val="23"/>
          <w:szCs w:val="23"/>
        </w:rPr>
        <w:t xml:space="preserve">            </w:t>
      </w:r>
      <w:r w:rsidR="00EC7876" w:rsidRPr="006B54B9">
        <w:rPr>
          <w:rFonts w:ascii="Times New Roman" w:hAnsi="Times New Roman" w:cs="Calibri"/>
          <w:b/>
          <w:sz w:val="23"/>
          <w:szCs w:val="23"/>
        </w:rPr>
        <w:t>Facilitator:</w:t>
      </w:r>
      <w:r w:rsidR="00EC7876" w:rsidRPr="006B54B9">
        <w:rPr>
          <w:rFonts w:ascii="Times New Roman" w:hAnsi="Times New Roman" w:cs="Calibri"/>
          <w:sz w:val="23"/>
          <w:szCs w:val="23"/>
        </w:rPr>
        <w:t xml:space="preserve">  </w:t>
      </w:r>
      <w:r w:rsidR="00FC5A7F">
        <w:rPr>
          <w:rFonts w:ascii="Times New Roman" w:hAnsi="Times New Roman" w:cs="Calibri"/>
          <w:sz w:val="23"/>
          <w:szCs w:val="23"/>
        </w:rPr>
        <w:t xml:space="preserve">Dr. Deb Selman  </w:t>
      </w:r>
    </w:p>
    <w:p w:rsidR="003B12B7" w:rsidRDefault="00FC5A7F" w:rsidP="00FC5A7F">
      <w:pPr>
        <w:rPr>
          <w:rFonts w:ascii="Times New Roman" w:hAnsi="Times New Roman" w:cs="Calibri"/>
          <w:sz w:val="23"/>
          <w:szCs w:val="23"/>
        </w:rPr>
      </w:pPr>
      <w:r>
        <w:rPr>
          <w:rFonts w:ascii="Times New Roman" w:hAnsi="Times New Roman" w:cs="Calibri"/>
          <w:b/>
          <w:sz w:val="23"/>
          <w:szCs w:val="23"/>
        </w:rPr>
        <w:t xml:space="preserve">Minutes: </w:t>
      </w:r>
      <w:r w:rsidR="00BA35FF" w:rsidRPr="003B12B7">
        <w:rPr>
          <w:rFonts w:ascii="Times New Roman" w:hAnsi="Times New Roman" w:cs="Calibri"/>
          <w:sz w:val="23"/>
          <w:szCs w:val="23"/>
          <w:highlight w:val="yellow"/>
        </w:rPr>
        <w:t>Chris Renda</w:t>
      </w:r>
      <w:r w:rsidR="003B12B7" w:rsidRPr="003B12B7">
        <w:rPr>
          <w:rFonts w:ascii="Times New Roman" w:hAnsi="Times New Roman" w:cs="Calibri"/>
          <w:sz w:val="23"/>
          <w:szCs w:val="23"/>
          <w:highlight w:val="yellow"/>
        </w:rPr>
        <w:t>?</w:t>
      </w:r>
    </w:p>
    <w:p w:rsidR="003B12B7" w:rsidRDefault="003B12B7" w:rsidP="00FC5A7F">
      <w:pPr>
        <w:rPr>
          <w:rFonts w:ascii="Times New Roman" w:hAnsi="Times New Roman" w:cs="Calibri"/>
          <w:sz w:val="23"/>
          <w:szCs w:val="23"/>
        </w:rPr>
      </w:pPr>
    </w:p>
    <w:p w:rsidR="003B12B7" w:rsidRDefault="003B12B7" w:rsidP="00FC5A7F">
      <w:pPr>
        <w:rPr>
          <w:rFonts w:ascii="Times New Roman" w:hAnsi="Times New Roman" w:cs="Calibri"/>
          <w:sz w:val="23"/>
          <w:szCs w:val="23"/>
        </w:rPr>
      </w:pPr>
    </w:p>
    <w:tbl>
      <w:tblPr>
        <w:tblStyle w:val="TableGrid"/>
        <w:tblW w:w="5000" w:type="pct"/>
        <w:tblLook w:val="00A0" w:firstRow="1" w:lastRow="0" w:firstColumn="1" w:lastColumn="0" w:noHBand="0" w:noVBand="0"/>
      </w:tblPr>
      <w:tblGrid>
        <w:gridCol w:w="6925"/>
        <w:gridCol w:w="2339"/>
        <w:gridCol w:w="1526"/>
      </w:tblGrid>
      <w:tr w:rsidR="00EC7876" w:rsidRPr="006B54B9" w:rsidTr="00D07C27">
        <w:tc>
          <w:tcPr>
            <w:tcW w:w="3209" w:type="pct"/>
            <w:hideMark/>
          </w:tcPr>
          <w:p w:rsidR="00EC7876" w:rsidRPr="006B54B9" w:rsidRDefault="00EC7876">
            <w:pPr>
              <w:jc w:val="center"/>
              <w:rPr>
                <w:rFonts w:ascii="Times New Roman" w:hAnsi="Times New Roman" w:cs="Calibri"/>
                <w:b/>
                <w:sz w:val="23"/>
                <w:szCs w:val="23"/>
              </w:rPr>
            </w:pPr>
            <w:r w:rsidRPr="006B54B9">
              <w:rPr>
                <w:rFonts w:ascii="Times New Roman" w:hAnsi="Times New Roman" w:cs="Calibri"/>
                <w:b/>
                <w:sz w:val="23"/>
                <w:szCs w:val="23"/>
              </w:rPr>
              <w:t>Topic</w:t>
            </w:r>
          </w:p>
        </w:tc>
        <w:tc>
          <w:tcPr>
            <w:tcW w:w="1084" w:type="pct"/>
            <w:hideMark/>
          </w:tcPr>
          <w:p w:rsidR="00EC7876" w:rsidRPr="006B54B9" w:rsidRDefault="00EC7876">
            <w:pPr>
              <w:jc w:val="center"/>
              <w:rPr>
                <w:rFonts w:ascii="Times New Roman" w:hAnsi="Times New Roman" w:cs="Calibri"/>
                <w:b/>
                <w:sz w:val="23"/>
                <w:szCs w:val="23"/>
              </w:rPr>
            </w:pPr>
            <w:r w:rsidRPr="006B54B9">
              <w:rPr>
                <w:rFonts w:ascii="Times New Roman" w:hAnsi="Times New Roman" w:cs="Calibri"/>
                <w:b/>
                <w:sz w:val="23"/>
                <w:szCs w:val="23"/>
              </w:rPr>
              <w:t>Presenter</w:t>
            </w:r>
          </w:p>
        </w:tc>
        <w:tc>
          <w:tcPr>
            <w:tcW w:w="707" w:type="pct"/>
            <w:hideMark/>
          </w:tcPr>
          <w:p w:rsidR="00EC7876" w:rsidRPr="006B54B9" w:rsidRDefault="00EC7876">
            <w:pPr>
              <w:jc w:val="center"/>
              <w:rPr>
                <w:rFonts w:ascii="Times New Roman" w:hAnsi="Times New Roman" w:cs="Calibri"/>
                <w:b/>
                <w:sz w:val="23"/>
                <w:szCs w:val="23"/>
              </w:rPr>
            </w:pPr>
            <w:r w:rsidRPr="006B54B9">
              <w:rPr>
                <w:rFonts w:ascii="Times New Roman" w:hAnsi="Times New Roman" w:cs="Calibri"/>
                <w:b/>
                <w:sz w:val="23"/>
                <w:szCs w:val="23"/>
              </w:rPr>
              <w:t>Time</w:t>
            </w:r>
          </w:p>
        </w:tc>
      </w:tr>
      <w:tr w:rsidR="00EC7876" w:rsidRPr="006B54B9" w:rsidTr="00D07C27">
        <w:trPr>
          <w:cantSplit/>
          <w:trHeight w:val="446"/>
        </w:trPr>
        <w:tc>
          <w:tcPr>
            <w:tcW w:w="3209" w:type="pct"/>
            <w:vAlign w:val="center"/>
            <w:hideMark/>
          </w:tcPr>
          <w:p w:rsidR="00EC7876" w:rsidRPr="006B54B9" w:rsidRDefault="00237BA1" w:rsidP="00CD713B">
            <w:pPr>
              <w:rPr>
                <w:rFonts w:ascii="Times New Roman" w:hAnsi="Times New Roman"/>
                <w:sz w:val="23"/>
                <w:szCs w:val="23"/>
              </w:rPr>
            </w:pPr>
            <w:r>
              <w:rPr>
                <w:rFonts w:ascii="Times New Roman" w:hAnsi="Times New Roman"/>
                <w:sz w:val="23"/>
                <w:szCs w:val="23"/>
              </w:rPr>
              <w:t>Call to Order</w:t>
            </w:r>
          </w:p>
        </w:tc>
        <w:tc>
          <w:tcPr>
            <w:tcW w:w="1084" w:type="pct"/>
            <w:vAlign w:val="center"/>
          </w:tcPr>
          <w:p w:rsidR="00EC7876" w:rsidRPr="00674CCD" w:rsidRDefault="00237BA1" w:rsidP="00CD713B">
            <w:pPr>
              <w:jc w:val="center"/>
              <w:rPr>
                <w:rFonts w:ascii="Times New Roman" w:hAnsi="Times New Roman"/>
                <w:color w:val="auto"/>
                <w:sz w:val="23"/>
                <w:szCs w:val="23"/>
              </w:rPr>
            </w:pPr>
            <w:r w:rsidRPr="00674CCD">
              <w:rPr>
                <w:rFonts w:ascii="Times New Roman" w:hAnsi="Times New Roman"/>
                <w:color w:val="auto"/>
                <w:sz w:val="23"/>
                <w:szCs w:val="23"/>
              </w:rPr>
              <w:t>Deb Selman</w:t>
            </w:r>
          </w:p>
        </w:tc>
        <w:tc>
          <w:tcPr>
            <w:tcW w:w="707" w:type="pct"/>
            <w:vAlign w:val="center"/>
          </w:tcPr>
          <w:p w:rsidR="00EC7876" w:rsidRPr="006B54B9" w:rsidRDefault="00927A93" w:rsidP="00CD713B">
            <w:pPr>
              <w:jc w:val="center"/>
              <w:rPr>
                <w:rFonts w:ascii="Times New Roman" w:hAnsi="Times New Roman"/>
                <w:sz w:val="23"/>
                <w:szCs w:val="23"/>
              </w:rPr>
            </w:pPr>
            <w:r>
              <w:rPr>
                <w:rFonts w:ascii="Times New Roman" w:hAnsi="Times New Roman"/>
                <w:sz w:val="23"/>
                <w:szCs w:val="23"/>
              </w:rPr>
              <w:t>9:30</w:t>
            </w:r>
          </w:p>
        </w:tc>
      </w:tr>
      <w:tr w:rsidR="00EC7876" w:rsidRPr="006B54B9" w:rsidTr="00D07C27">
        <w:trPr>
          <w:cantSplit/>
          <w:trHeight w:val="446"/>
        </w:trPr>
        <w:tc>
          <w:tcPr>
            <w:tcW w:w="3209" w:type="pct"/>
            <w:vAlign w:val="center"/>
            <w:hideMark/>
          </w:tcPr>
          <w:p w:rsidR="00EC7876" w:rsidRPr="006B54B9" w:rsidRDefault="00EC7876" w:rsidP="00CD713B">
            <w:pPr>
              <w:rPr>
                <w:rFonts w:ascii="Times New Roman" w:hAnsi="Times New Roman"/>
                <w:sz w:val="23"/>
                <w:szCs w:val="23"/>
              </w:rPr>
            </w:pPr>
            <w:r w:rsidRPr="006B54B9">
              <w:rPr>
                <w:rFonts w:ascii="Times New Roman" w:hAnsi="Times New Roman"/>
                <w:sz w:val="23"/>
                <w:szCs w:val="23"/>
              </w:rPr>
              <w:t>Attendance</w:t>
            </w:r>
          </w:p>
        </w:tc>
        <w:tc>
          <w:tcPr>
            <w:tcW w:w="1084" w:type="pct"/>
            <w:vAlign w:val="center"/>
          </w:tcPr>
          <w:p w:rsidR="00EC7876" w:rsidRPr="00674CCD" w:rsidRDefault="00237BA1" w:rsidP="00CD713B">
            <w:pPr>
              <w:jc w:val="center"/>
              <w:rPr>
                <w:rFonts w:ascii="Times New Roman" w:hAnsi="Times New Roman"/>
                <w:color w:val="auto"/>
                <w:sz w:val="23"/>
                <w:szCs w:val="23"/>
              </w:rPr>
            </w:pPr>
            <w:r w:rsidRPr="00674CCD">
              <w:rPr>
                <w:rFonts w:ascii="Times New Roman" w:hAnsi="Times New Roman"/>
                <w:color w:val="auto"/>
                <w:sz w:val="23"/>
                <w:szCs w:val="23"/>
              </w:rPr>
              <w:t>All Faculty and Staff</w:t>
            </w:r>
          </w:p>
          <w:p w:rsidR="00237BA1" w:rsidRPr="00674CCD" w:rsidRDefault="00237BA1" w:rsidP="00CD713B">
            <w:pPr>
              <w:jc w:val="center"/>
              <w:rPr>
                <w:rFonts w:ascii="Times New Roman" w:hAnsi="Times New Roman"/>
                <w:color w:val="auto"/>
                <w:sz w:val="23"/>
                <w:szCs w:val="23"/>
              </w:rPr>
            </w:pPr>
            <w:r w:rsidRPr="00674CCD">
              <w:rPr>
                <w:rFonts w:ascii="Times New Roman" w:hAnsi="Times New Roman"/>
                <w:color w:val="auto"/>
                <w:sz w:val="23"/>
                <w:szCs w:val="23"/>
              </w:rPr>
              <w:t>Welcome: Students, Adjuncts, Clinical Associates</w:t>
            </w:r>
          </w:p>
        </w:tc>
        <w:tc>
          <w:tcPr>
            <w:tcW w:w="707" w:type="pct"/>
            <w:vAlign w:val="center"/>
          </w:tcPr>
          <w:p w:rsidR="00EC7876" w:rsidRPr="006B54B9" w:rsidRDefault="00EC7876" w:rsidP="00CD713B">
            <w:pPr>
              <w:jc w:val="center"/>
              <w:rPr>
                <w:rFonts w:ascii="Times New Roman" w:hAnsi="Times New Roman"/>
                <w:sz w:val="23"/>
                <w:szCs w:val="23"/>
              </w:rPr>
            </w:pPr>
          </w:p>
        </w:tc>
      </w:tr>
      <w:tr w:rsidR="00EC7876" w:rsidRPr="006B54B9" w:rsidTr="00D07C27">
        <w:trPr>
          <w:cantSplit/>
          <w:trHeight w:val="446"/>
        </w:trPr>
        <w:tc>
          <w:tcPr>
            <w:tcW w:w="3209" w:type="pct"/>
            <w:vAlign w:val="center"/>
            <w:hideMark/>
          </w:tcPr>
          <w:p w:rsidR="00EC7876" w:rsidRPr="006B54B9" w:rsidRDefault="00237BA1" w:rsidP="004028E0">
            <w:pPr>
              <w:rPr>
                <w:rFonts w:ascii="Times New Roman" w:hAnsi="Times New Roman"/>
                <w:sz w:val="23"/>
                <w:szCs w:val="23"/>
              </w:rPr>
            </w:pPr>
            <w:r>
              <w:rPr>
                <w:rFonts w:ascii="Times New Roman" w:hAnsi="Times New Roman"/>
                <w:sz w:val="23"/>
                <w:szCs w:val="23"/>
              </w:rPr>
              <w:t xml:space="preserve">Approval of Minutes from </w:t>
            </w:r>
            <w:r w:rsidR="004028E0">
              <w:rPr>
                <w:rFonts w:ascii="Times New Roman" w:hAnsi="Times New Roman"/>
                <w:sz w:val="23"/>
                <w:szCs w:val="23"/>
              </w:rPr>
              <w:t>March 16th</w:t>
            </w:r>
            <w:r w:rsidR="00085E07">
              <w:rPr>
                <w:rFonts w:ascii="Times New Roman" w:hAnsi="Times New Roman"/>
                <w:sz w:val="23"/>
                <w:szCs w:val="23"/>
              </w:rPr>
              <w:t>, 2018</w:t>
            </w:r>
            <w:r w:rsidR="004028E0">
              <w:rPr>
                <w:rFonts w:ascii="Times New Roman" w:hAnsi="Times New Roman"/>
                <w:sz w:val="23"/>
                <w:szCs w:val="23"/>
              </w:rPr>
              <w:t xml:space="preserve"> Meeting</w:t>
            </w:r>
          </w:p>
        </w:tc>
        <w:tc>
          <w:tcPr>
            <w:tcW w:w="1084" w:type="pct"/>
            <w:vAlign w:val="center"/>
          </w:tcPr>
          <w:p w:rsidR="00EC7876" w:rsidRPr="006B54B9" w:rsidRDefault="00237BA1" w:rsidP="00CD713B">
            <w:pPr>
              <w:jc w:val="center"/>
              <w:rPr>
                <w:rFonts w:ascii="Times New Roman" w:hAnsi="Times New Roman"/>
                <w:color w:val="auto"/>
                <w:sz w:val="23"/>
                <w:szCs w:val="23"/>
              </w:rPr>
            </w:pPr>
            <w:r>
              <w:rPr>
                <w:rFonts w:ascii="Times New Roman" w:hAnsi="Times New Roman"/>
                <w:color w:val="auto"/>
                <w:sz w:val="23"/>
                <w:szCs w:val="23"/>
              </w:rPr>
              <w:t>Deb Selman</w:t>
            </w:r>
          </w:p>
        </w:tc>
        <w:tc>
          <w:tcPr>
            <w:tcW w:w="707" w:type="pct"/>
            <w:vAlign w:val="center"/>
          </w:tcPr>
          <w:p w:rsidR="00EC7876" w:rsidRPr="006B54B9" w:rsidRDefault="00EC7876" w:rsidP="00CD713B">
            <w:pPr>
              <w:jc w:val="center"/>
              <w:rPr>
                <w:rFonts w:ascii="Times New Roman" w:hAnsi="Times New Roman"/>
                <w:color w:val="auto"/>
                <w:sz w:val="23"/>
                <w:szCs w:val="23"/>
              </w:rPr>
            </w:pPr>
          </w:p>
        </w:tc>
      </w:tr>
      <w:tr w:rsidR="00417EB4" w:rsidRPr="006B54B9" w:rsidTr="00D07C27">
        <w:trPr>
          <w:cantSplit/>
          <w:trHeight w:val="302"/>
        </w:trPr>
        <w:tc>
          <w:tcPr>
            <w:tcW w:w="3209" w:type="pct"/>
            <w:vAlign w:val="center"/>
            <w:hideMark/>
          </w:tcPr>
          <w:p w:rsidR="00417EB4" w:rsidRPr="006B54B9" w:rsidRDefault="00417EB4" w:rsidP="00CD713B">
            <w:pPr>
              <w:rPr>
                <w:rFonts w:ascii="Times New Roman" w:hAnsi="Times New Roman"/>
                <w:sz w:val="23"/>
                <w:szCs w:val="23"/>
              </w:rPr>
            </w:pPr>
            <w:r w:rsidRPr="006B54B9">
              <w:rPr>
                <w:rFonts w:ascii="Times New Roman" w:hAnsi="Times New Roman"/>
                <w:b/>
                <w:sz w:val="23"/>
                <w:szCs w:val="23"/>
              </w:rPr>
              <w:t xml:space="preserve">Business:  </w:t>
            </w:r>
          </w:p>
        </w:tc>
        <w:tc>
          <w:tcPr>
            <w:tcW w:w="1084" w:type="pct"/>
            <w:vAlign w:val="center"/>
          </w:tcPr>
          <w:p w:rsidR="00417EB4" w:rsidRPr="006B54B9" w:rsidRDefault="00417EB4" w:rsidP="00CD713B">
            <w:pPr>
              <w:jc w:val="center"/>
              <w:rPr>
                <w:rFonts w:ascii="Times New Roman" w:hAnsi="Times New Roman"/>
                <w:color w:val="auto"/>
                <w:sz w:val="23"/>
                <w:szCs w:val="23"/>
              </w:rPr>
            </w:pPr>
          </w:p>
        </w:tc>
        <w:tc>
          <w:tcPr>
            <w:tcW w:w="707" w:type="pct"/>
            <w:vAlign w:val="center"/>
          </w:tcPr>
          <w:p w:rsidR="00417EB4" w:rsidRPr="006B54B9" w:rsidRDefault="00417EB4" w:rsidP="00CD713B">
            <w:pPr>
              <w:jc w:val="center"/>
              <w:rPr>
                <w:rFonts w:ascii="Times New Roman" w:hAnsi="Times New Roman"/>
                <w:color w:val="auto"/>
                <w:sz w:val="23"/>
                <w:szCs w:val="23"/>
              </w:rPr>
            </w:pPr>
          </w:p>
        </w:tc>
      </w:tr>
      <w:tr w:rsidR="00417EB4" w:rsidRPr="006B54B9" w:rsidTr="00D07C27">
        <w:trPr>
          <w:cantSplit/>
          <w:trHeight w:val="1134"/>
        </w:trPr>
        <w:tc>
          <w:tcPr>
            <w:tcW w:w="3209" w:type="pct"/>
            <w:vAlign w:val="center"/>
            <w:hideMark/>
          </w:tcPr>
          <w:p w:rsidR="002A26F5" w:rsidRDefault="00417EB4" w:rsidP="00CD713B">
            <w:pPr>
              <w:pStyle w:val="ListParagraph"/>
              <w:numPr>
                <w:ilvl w:val="0"/>
                <w:numId w:val="1"/>
              </w:numPr>
              <w:spacing w:after="0"/>
              <w:rPr>
                <w:rFonts w:ascii="Times New Roman" w:hAnsi="Times New Roman"/>
                <w:sz w:val="23"/>
                <w:szCs w:val="23"/>
              </w:rPr>
            </w:pPr>
            <w:r w:rsidRPr="006B54B9">
              <w:rPr>
                <w:rFonts w:ascii="Times New Roman" w:hAnsi="Times New Roman"/>
                <w:sz w:val="23"/>
                <w:szCs w:val="23"/>
              </w:rPr>
              <w:t>Mission and Administrative Capacity</w:t>
            </w:r>
            <w:r w:rsidR="001A4220" w:rsidRPr="006B54B9">
              <w:rPr>
                <w:rFonts w:ascii="Times New Roman" w:hAnsi="Times New Roman"/>
                <w:sz w:val="23"/>
                <w:szCs w:val="23"/>
              </w:rPr>
              <w:t xml:space="preserve"> </w:t>
            </w:r>
          </w:p>
          <w:p w:rsidR="004028E0" w:rsidRPr="004028E0" w:rsidRDefault="0028240B" w:rsidP="004028E0">
            <w:pPr>
              <w:ind w:left="360"/>
              <w:rPr>
                <w:rFonts w:ascii="Times New Roman" w:hAnsi="Times New Roman"/>
                <w:sz w:val="23"/>
                <w:szCs w:val="23"/>
              </w:rPr>
            </w:pPr>
            <w:r>
              <w:rPr>
                <w:rFonts w:ascii="Times New Roman" w:hAnsi="Times New Roman"/>
                <w:sz w:val="23"/>
                <w:szCs w:val="23"/>
              </w:rPr>
              <w:t xml:space="preserve">A. </w:t>
            </w:r>
            <w:r w:rsidR="004028E0" w:rsidRPr="004028E0">
              <w:rPr>
                <w:rFonts w:ascii="Times New Roman" w:hAnsi="Times New Roman"/>
                <w:sz w:val="23"/>
                <w:szCs w:val="23"/>
              </w:rPr>
              <w:t xml:space="preserve">LPN Gold Standard Pathway </w:t>
            </w:r>
            <w:r w:rsidR="004028E0">
              <w:rPr>
                <w:rFonts w:ascii="Times New Roman" w:hAnsi="Times New Roman"/>
                <w:sz w:val="23"/>
                <w:szCs w:val="23"/>
              </w:rPr>
              <w:t>Update</w:t>
            </w:r>
            <w:r w:rsidR="004028E0" w:rsidRPr="004028E0">
              <w:rPr>
                <w:rFonts w:ascii="Times New Roman" w:hAnsi="Times New Roman"/>
                <w:sz w:val="23"/>
                <w:szCs w:val="23"/>
              </w:rPr>
              <w:t xml:space="preserve"> </w:t>
            </w:r>
          </w:p>
          <w:p w:rsidR="00674CCD" w:rsidRPr="006B54B9" w:rsidRDefault="0028240B" w:rsidP="004028E0">
            <w:pPr>
              <w:pStyle w:val="ListParagraph"/>
              <w:ind w:left="360"/>
              <w:rPr>
                <w:rFonts w:ascii="Times New Roman" w:hAnsi="Times New Roman"/>
                <w:sz w:val="23"/>
                <w:szCs w:val="23"/>
              </w:rPr>
            </w:pPr>
            <w:r>
              <w:rPr>
                <w:rFonts w:ascii="Times New Roman" w:hAnsi="Times New Roman"/>
                <w:sz w:val="23"/>
                <w:szCs w:val="23"/>
              </w:rPr>
              <w:t>B. Program Chairs/Coordinators  AS and RN to BSN</w:t>
            </w:r>
          </w:p>
        </w:tc>
        <w:tc>
          <w:tcPr>
            <w:tcW w:w="1084" w:type="pct"/>
            <w:vAlign w:val="center"/>
          </w:tcPr>
          <w:p w:rsidR="00265BAD" w:rsidRPr="006B54B9" w:rsidRDefault="00674CCD" w:rsidP="009A0324">
            <w:pPr>
              <w:rPr>
                <w:rFonts w:ascii="Times New Roman" w:hAnsi="Times New Roman"/>
                <w:color w:val="auto"/>
                <w:sz w:val="23"/>
                <w:szCs w:val="23"/>
              </w:rPr>
            </w:pPr>
            <w:r>
              <w:rPr>
                <w:rFonts w:ascii="Times New Roman" w:hAnsi="Times New Roman"/>
                <w:color w:val="auto"/>
                <w:sz w:val="23"/>
                <w:szCs w:val="23"/>
              </w:rPr>
              <w:t>Deb Selman</w:t>
            </w:r>
          </w:p>
        </w:tc>
        <w:tc>
          <w:tcPr>
            <w:tcW w:w="707" w:type="pct"/>
            <w:vAlign w:val="center"/>
          </w:tcPr>
          <w:p w:rsidR="00265BAD" w:rsidRPr="006B54B9" w:rsidRDefault="00265BAD" w:rsidP="00CD713B">
            <w:pPr>
              <w:jc w:val="center"/>
              <w:rPr>
                <w:rFonts w:ascii="Times New Roman" w:hAnsi="Times New Roman"/>
                <w:color w:val="auto"/>
                <w:sz w:val="23"/>
                <w:szCs w:val="23"/>
              </w:rPr>
            </w:pPr>
          </w:p>
        </w:tc>
      </w:tr>
      <w:tr w:rsidR="00417EB4" w:rsidRPr="006B54B9" w:rsidTr="00D07C27">
        <w:trPr>
          <w:cantSplit/>
          <w:trHeight w:val="1134"/>
        </w:trPr>
        <w:tc>
          <w:tcPr>
            <w:tcW w:w="3209" w:type="pct"/>
            <w:vAlign w:val="center"/>
            <w:hideMark/>
          </w:tcPr>
          <w:p w:rsidR="00E52FBE" w:rsidRDefault="00417EB4" w:rsidP="00CD713B">
            <w:pPr>
              <w:pStyle w:val="ListParagraph"/>
              <w:numPr>
                <w:ilvl w:val="0"/>
                <w:numId w:val="1"/>
              </w:numPr>
              <w:spacing w:after="0"/>
              <w:rPr>
                <w:rFonts w:ascii="Times New Roman" w:hAnsi="Times New Roman"/>
                <w:sz w:val="23"/>
                <w:szCs w:val="23"/>
              </w:rPr>
            </w:pPr>
            <w:r w:rsidRPr="006B54B9">
              <w:rPr>
                <w:rFonts w:ascii="Times New Roman" w:hAnsi="Times New Roman"/>
                <w:sz w:val="23"/>
                <w:szCs w:val="23"/>
              </w:rPr>
              <w:t>Faculty and Staff</w:t>
            </w:r>
          </w:p>
          <w:p w:rsidR="00D07C27" w:rsidRDefault="004028E0" w:rsidP="004028E0">
            <w:pPr>
              <w:pStyle w:val="ListParagraph"/>
              <w:numPr>
                <w:ilvl w:val="0"/>
                <w:numId w:val="32"/>
              </w:numPr>
              <w:rPr>
                <w:rFonts w:ascii="Times New Roman" w:hAnsi="Times New Roman"/>
                <w:sz w:val="23"/>
                <w:szCs w:val="23"/>
              </w:rPr>
            </w:pPr>
            <w:r w:rsidRPr="004028E0">
              <w:rPr>
                <w:rFonts w:ascii="Times New Roman" w:hAnsi="Times New Roman"/>
                <w:sz w:val="23"/>
                <w:szCs w:val="23"/>
              </w:rPr>
              <w:t>Contingency plan for</w:t>
            </w:r>
            <w:r>
              <w:rPr>
                <w:rFonts w:ascii="Times New Roman" w:hAnsi="Times New Roman"/>
                <w:sz w:val="23"/>
                <w:szCs w:val="23"/>
              </w:rPr>
              <w:t xml:space="preserve"> clinical associate call offs </w:t>
            </w:r>
          </w:p>
          <w:p w:rsidR="009A0324" w:rsidRDefault="009A0324" w:rsidP="004028E0">
            <w:pPr>
              <w:pStyle w:val="ListParagraph"/>
              <w:numPr>
                <w:ilvl w:val="0"/>
                <w:numId w:val="32"/>
              </w:numPr>
              <w:rPr>
                <w:rFonts w:ascii="Times New Roman" w:hAnsi="Times New Roman"/>
                <w:sz w:val="23"/>
                <w:szCs w:val="23"/>
              </w:rPr>
            </w:pPr>
            <w:r>
              <w:rPr>
                <w:rFonts w:ascii="Times New Roman" w:hAnsi="Times New Roman"/>
                <w:sz w:val="23"/>
                <w:szCs w:val="23"/>
              </w:rPr>
              <w:t>Rubric Committee</w:t>
            </w:r>
            <w:r w:rsidR="0028240B">
              <w:rPr>
                <w:rFonts w:ascii="Times New Roman" w:hAnsi="Times New Roman"/>
                <w:sz w:val="23"/>
                <w:szCs w:val="23"/>
              </w:rPr>
              <w:t xml:space="preserve"> AS and RN to BSN</w:t>
            </w:r>
          </w:p>
          <w:p w:rsidR="009A0324" w:rsidRPr="007C3104" w:rsidRDefault="009A0324" w:rsidP="004028E0">
            <w:pPr>
              <w:pStyle w:val="ListParagraph"/>
              <w:numPr>
                <w:ilvl w:val="0"/>
                <w:numId w:val="32"/>
              </w:numPr>
              <w:rPr>
                <w:rFonts w:ascii="Times New Roman" w:hAnsi="Times New Roman"/>
                <w:sz w:val="23"/>
                <w:szCs w:val="23"/>
              </w:rPr>
            </w:pPr>
            <w:r>
              <w:rPr>
                <w:rFonts w:ascii="Times New Roman" w:hAnsi="Times New Roman"/>
                <w:sz w:val="23"/>
                <w:szCs w:val="23"/>
              </w:rPr>
              <w:t>Mentoring Handbook</w:t>
            </w:r>
            <w:r w:rsidR="0028240B">
              <w:rPr>
                <w:rFonts w:ascii="Times New Roman" w:hAnsi="Times New Roman"/>
                <w:sz w:val="23"/>
                <w:szCs w:val="23"/>
              </w:rPr>
              <w:t xml:space="preserve"> AS and RN to BSN</w:t>
            </w:r>
          </w:p>
        </w:tc>
        <w:tc>
          <w:tcPr>
            <w:tcW w:w="1084" w:type="pct"/>
            <w:vAlign w:val="center"/>
          </w:tcPr>
          <w:p w:rsidR="00D07C27" w:rsidRDefault="009A0324" w:rsidP="00D07C27">
            <w:pPr>
              <w:rPr>
                <w:rFonts w:ascii="Times New Roman" w:hAnsi="Times New Roman"/>
                <w:color w:val="auto"/>
                <w:sz w:val="23"/>
                <w:szCs w:val="23"/>
              </w:rPr>
            </w:pPr>
            <w:r>
              <w:rPr>
                <w:rFonts w:ascii="Times New Roman" w:hAnsi="Times New Roman"/>
                <w:color w:val="auto"/>
                <w:sz w:val="23"/>
                <w:szCs w:val="23"/>
              </w:rPr>
              <w:t xml:space="preserve">A. </w:t>
            </w:r>
            <w:r w:rsidR="004028E0">
              <w:rPr>
                <w:rFonts w:ascii="Times New Roman" w:hAnsi="Times New Roman"/>
                <w:color w:val="auto"/>
                <w:sz w:val="23"/>
                <w:szCs w:val="23"/>
              </w:rPr>
              <w:t>Bobby and Rima</w:t>
            </w:r>
          </w:p>
          <w:p w:rsidR="009A0324" w:rsidRDefault="009A0324" w:rsidP="00D07C27">
            <w:pPr>
              <w:rPr>
                <w:rFonts w:ascii="Times New Roman" w:hAnsi="Times New Roman"/>
                <w:color w:val="auto"/>
                <w:sz w:val="23"/>
                <w:szCs w:val="23"/>
              </w:rPr>
            </w:pPr>
            <w:r>
              <w:rPr>
                <w:rFonts w:ascii="Times New Roman" w:hAnsi="Times New Roman"/>
                <w:color w:val="auto"/>
                <w:sz w:val="23"/>
                <w:szCs w:val="23"/>
              </w:rPr>
              <w:t>B. Gayle Deane</w:t>
            </w:r>
          </w:p>
          <w:p w:rsidR="009A0324" w:rsidRPr="006B54B9" w:rsidRDefault="009A0324" w:rsidP="00D07C27">
            <w:pPr>
              <w:rPr>
                <w:rFonts w:ascii="Times New Roman" w:hAnsi="Times New Roman"/>
                <w:color w:val="auto"/>
                <w:sz w:val="23"/>
                <w:szCs w:val="23"/>
              </w:rPr>
            </w:pPr>
            <w:r>
              <w:rPr>
                <w:rFonts w:ascii="Times New Roman" w:hAnsi="Times New Roman"/>
                <w:color w:val="auto"/>
                <w:sz w:val="23"/>
                <w:szCs w:val="23"/>
              </w:rPr>
              <w:t>C. Pat Arcidiacono</w:t>
            </w:r>
          </w:p>
        </w:tc>
        <w:tc>
          <w:tcPr>
            <w:tcW w:w="707" w:type="pct"/>
            <w:vAlign w:val="center"/>
          </w:tcPr>
          <w:p w:rsidR="00C065DA" w:rsidRPr="006B54B9" w:rsidRDefault="00C065DA" w:rsidP="00CD713B">
            <w:pPr>
              <w:pStyle w:val="ListParagraph"/>
              <w:jc w:val="center"/>
              <w:rPr>
                <w:rFonts w:ascii="Times New Roman" w:hAnsi="Times New Roman"/>
                <w:sz w:val="23"/>
                <w:szCs w:val="23"/>
              </w:rPr>
            </w:pPr>
          </w:p>
        </w:tc>
      </w:tr>
      <w:tr w:rsidR="00417EB4" w:rsidRPr="006B54B9" w:rsidTr="003B12B7">
        <w:trPr>
          <w:cantSplit/>
          <w:trHeight w:val="1134"/>
        </w:trPr>
        <w:tc>
          <w:tcPr>
            <w:tcW w:w="3209" w:type="pct"/>
            <w:vAlign w:val="center"/>
            <w:hideMark/>
          </w:tcPr>
          <w:p w:rsidR="00C065DA" w:rsidRDefault="00417EB4" w:rsidP="00CE7A50">
            <w:pPr>
              <w:pStyle w:val="ListParagraph"/>
              <w:numPr>
                <w:ilvl w:val="0"/>
                <w:numId w:val="40"/>
              </w:numPr>
              <w:spacing w:after="0"/>
              <w:rPr>
                <w:rFonts w:ascii="Times New Roman" w:hAnsi="Times New Roman"/>
                <w:sz w:val="23"/>
                <w:szCs w:val="23"/>
              </w:rPr>
            </w:pPr>
            <w:r w:rsidRPr="006B54B9">
              <w:rPr>
                <w:rFonts w:ascii="Times New Roman" w:hAnsi="Times New Roman"/>
                <w:sz w:val="23"/>
                <w:szCs w:val="23"/>
              </w:rPr>
              <w:t>Curriculum</w:t>
            </w:r>
            <w:r w:rsidR="00F62F98" w:rsidRPr="006B54B9">
              <w:rPr>
                <w:rFonts w:ascii="Times New Roman" w:hAnsi="Times New Roman"/>
                <w:sz w:val="23"/>
                <w:szCs w:val="23"/>
              </w:rPr>
              <w:t xml:space="preserve"> </w:t>
            </w:r>
          </w:p>
          <w:p w:rsidR="00674CCD" w:rsidRDefault="004028E0" w:rsidP="008C5B01">
            <w:pPr>
              <w:pStyle w:val="ListParagraph"/>
              <w:numPr>
                <w:ilvl w:val="0"/>
                <w:numId w:val="22"/>
              </w:numPr>
              <w:rPr>
                <w:rFonts w:ascii="Times New Roman" w:hAnsi="Times New Roman"/>
              </w:rPr>
            </w:pPr>
            <w:r>
              <w:rPr>
                <w:rFonts w:ascii="Times New Roman" w:hAnsi="Times New Roman"/>
              </w:rPr>
              <w:t>ATI CBC Assessment and points</w:t>
            </w:r>
          </w:p>
          <w:p w:rsidR="004028E0" w:rsidRPr="008C5B01" w:rsidRDefault="004028E0" w:rsidP="008C5B01">
            <w:pPr>
              <w:pStyle w:val="ListParagraph"/>
              <w:numPr>
                <w:ilvl w:val="0"/>
                <w:numId w:val="22"/>
              </w:numPr>
              <w:rPr>
                <w:rFonts w:ascii="Times New Roman" w:hAnsi="Times New Roman"/>
              </w:rPr>
            </w:pPr>
            <w:r>
              <w:rPr>
                <w:rFonts w:ascii="Times New Roman" w:hAnsi="Times New Roman"/>
              </w:rPr>
              <w:t>CBC Focus Group Results</w:t>
            </w:r>
          </w:p>
        </w:tc>
        <w:tc>
          <w:tcPr>
            <w:tcW w:w="1084" w:type="pct"/>
          </w:tcPr>
          <w:p w:rsidR="003B12B7" w:rsidRDefault="003B12B7" w:rsidP="003B12B7">
            <w:pPr>
              <w:rPr>
                <w:rFonts w:ascii="Times New Roman" w:hAnsi="Times New Roman"/>
                <w:sz w:val="23"/>
                <w:szCs w:val="23"/>
              </w:rPr>
            </w:pPr>
          </w:p>
          <w:p w:rsidR="00BE696B" w:rsidRDefault="004028E0" w:rsidP="004028E0">
            <w:pPr>
              <w:rPr>
                <w:rFonts w:ascii="Times New Roman" w:hAnsi="Times New Roman"/>
                <w:sz w:val="23"/>
                <w:szCs w:val="23"/>
              </w:rPr>
            </w:pPr>
            <w:r>
              <w:rPr>
                <w:rFonts w:ascii="Times New Roman" w:hAnsi="Times New Roman"/>
                <w:sz w:val="23"/>
                <w:szCs w:val="23"/>
              </w:rPr>
              <w:t>A. Deb Selman</w:t>
            </w:r>
          </w:p>
          <w:p w:rsidR="004028E0" w:rsidRPr="006B54B9" w:rsidRDefault="004028E0" w:rsidP="004028E0">
            <w:pPr>
              <w:rPr>
                <w:rFonts w:ascii="Times New Roman" w:hAnsi="Times New Roman"/>
                <w:sz w:val="23"/>
                <w:szCs w:val="23"/>
              </w:rPr>
            </w:pPr>
            <w:r>
              <w:rPr>
                <w:rFonts w:ascii="Times New Roman" w:hAnsi="Times New Roman"/>
                <w:sz w:val="23"/>
                <w:szCs w:val="23"/>
              </w:rPr>
              <w:t>B. Joseph Van Gaalen</w:t>
            </w:r>
          </w:p>
        </w:tc>
        <w:tc>
          <w:tcPr>
            <w:tcW w:w="707" w:type="pct"/>
            <w:vAlign w:val="center"/>
          </w:tcPr>
          <w:p w:rsidR="00C065DA" w:rsidRPr="006B54B9" w:rsidRDefault="009A0324" w:rsidP="00CD713B">
            <w:pPr>
              <w:jc w:val="center"/>
              <w:rPr>
                <w:rFonts w:ascii="Times New Roman" w:hAnsi="Times New Roman"/>
                <w:sz w:val="23"/>
                <w:szCs w:val="23"/>
              </w:rPr>
            </w:pPr>
            <w:r>
              <w:rPr>
                <w:rFonts w:ascii="Times New Roman" w:hAnsi="Times New Roman"/>
                <w:sz w:val="23"/>
                <w:szCs w:val="23"/>
              </w:rPr>
              <w:t>10:00</w:t>
            </w:r>
          </w:p>
        </w:tc>
      </w:tr>
      <w:tr w:rsidR="00417EB4" w:rsidRPr="006B54B9" w:rsidTr="00D07C27">
        <w:trPr>
          <w:cantSplit/>
          <w:trHeight w:val="1134"/>
        </w:trPr>
        <w:tc>
          <w:tcPr>
            <w:tcW w:w="3209" w:type="pct"/>
            <w:vAlign w:val="center"/>
            <w:hideMark/>
          </w:tcPr>
          <w:p w:rsidR="00750614" w:rsidRDefault="00417EB4" w:rsidP="0068169C">
            <w:pPr>
              <w:pStyle w:val="ListParagraph"/>
              <w:numPr>
                <w:ilvl w:val="0"/>
                <w:numId w:val="37"/>
              </w:numPr>
              <w:spacing w:after="0"/>
              <w:rPr>
                <w:rFonts w:ascii="Times New Roman" w:hAnsi="Times New Roman"/>
                <w:sz w:val="23"/>
                <w:szCs w:val="23"/>
              </w:rPr>
            </w:pPr>
            <w:r w:rsidRPr="002916B0">
              <w:rPr>
                <w:rFonts w:ascii="Times New Roman" w:hAnsi="Times New Roman"/>
                <w:sz w:val="23"/>
                <w:szCs w:val="23"/>
              </w:rPr>
              <w:t xml:space="preserve">Outcomes </w:t>
            </w:r>
          </w:p>
          <w:p w:rsidR="00674CCD" w:rsidRPr="008C5B01" w:rsidRDefault="009A0324" w:rsidP="00674CCD">
            <w:pPr>
              <w:pStyle w:val="ListParagraph"/>
              <w:numPr>
                <w:ilvl w:val="0"/>
                <w:numId w:val="33"/>
              </w:numPr>
              <w:rPr>
                <w:rFonts w:ascii="Times New Roman" w:hAnsi="Times New Roman"/>
                <w:sz w:val="23"/>
                <w:szCs w:val="23"/>
              </w:rPr>
            </w:pPr>
            <w:r>
              <w:rPr>
                <w:rFonts w:ascii="Times New Roman" w:hAnsi="Times New Roman"/>
                <w:sz w:val="23"/>
                <w:szCs w:val="23"/>
              </w:rPr>
              <w:t>ATI Comprehensive Predictors for Spring NCLEX</w:t>
            </w:r>
          </w:p>
        </w:tc>
        <w:tc>
          <w:tcPr>
            <w:tcW w:w="1084" w:type="pct"/>
            <w:vAlign w:val="center"/>
          </w:tcPr>
          <w:p w:rsidR="00674CCD" w:rsidRDefault="00674CCD" w:rsidP="00CD713B">
            <w:pPr>
              <w:jc w:val="center"/>
              <w:rPr>
                <w:rFonts w:ascii="Times New Roman" w:hAnsi="Times New Roman"/>
                <w:sz w:val="23"/>
                <w:szCs w:val="23"/>
              </w:rPr>
            </w:pPr>
          </w:p>
          <w:p w:rsidR="00674CCD" w:rsidRPr="006B54B9" w:rsidRDefault="009A0324" w:rsidP="004028E0">
            <w:pPr>
              <w:rPr>
                <w:rFonts w:ascii="Times New Roman" w:hAnsi="Times New Roman"/>
                <w:sz w:val="23"/>
                <w:szCs w:val="23"/>
              </w:rPr>
            </w:pPr>
            <w:r>
              <w:rPr>
                <w:rFonts w:ascii="Times New Roman" w:hAnsi="Times New Roman"/>
                <w:sz w:val="23"/>
                <w:szCs w:val="23"/>
              </w:rPr>
              <w:t>A. Level 4 Faculty</w:t>
            </w:r>
          </w:p>
        </w:tc>
        <w:tc>
          <w:tcPr>
            <w:tcW w:w="707" w:type="pct"/>
            <w:vAlign w:val="center"/>
          </w:tcPr>
          <w:p w:rsidR="00750614" w:rsidRPr="006B54B9" w:rsidRDefault="00750614" w:rsidP="00CD713B">
            <w:pPr>
              <w:jc w:val="center"/>
              <w:rPr>
                <w:rFonts w:ascii="Times New Roman" w:hAnsi="Times New Roman"/>
                <w:sz w:val="23"/>
                <w:szCs w:val="23"/>
              </w:rPr>
            </w:pPr>
          </w:p>
        </w:tc>
      </w:tr>
      <w:tr w:rsidR="0068169C" w:rsidRPr="006B54B9" w:rsidTr="003B12B7">
        <w:trPr>
          <w:cantSplit/>
          <w:trHeight w:val="1134"/>
        </w:trPr>
        <w:tc>
          <w:tcPr>
            <w:tcW w:w="3209" w:type="pct"/>
            <w:vAlign w:val="center"/>
          </w:tcPr>
          <w:p w:rsidR="0068169C" w:rsidRDefault="0068169C" w:rsidP="0068169C">
            <w:pPr>
              <w:pStyle w:val="ListParagraph"/>
              <w:numPr>
                <w:ilvl w:val="0"/>
                <w:numId w:val="38"/>
              </w:numPr>
              <w:spacing w:after="0"/>
              <w:rPr>
                <w:rFonts w:ascii="Times New Roman" w:hAnsi="Times New Roman"/>
                <w:sz w:val="23"/>
                <w:szCs w:val="23"/>
              </w:rPr>
            </w:pPr>
            <w:r w:rsidRPr="006B54B9">
              <w:rPr>
                <w:rFonts w:ascii="Times New Roman" w:hAnsi="Times New Roman"/>
                <w:sz w:val="23"/>
                <w:szCs w:val="23"/>
              </w:rPr>
              <w:t>Resources</w:t>
            </w:r>
            <w:r>
              <w:rPr>
                <w:rFonts w:ascii="Times New Roman" w:hAnsi="Times New Roman"/>
                <w:sz w:val="23"/>
                <w:szCs w:val="23"/>
              </w:rPr>
              <w:t xml:space="preserve"> </w:t>
            </w:r>
          </w:p>
          <w:p w:rsidR="0068169C" w:rsidRDefault="0068169C" w:rsidP="0068169C">
            <w:pPr>
              <w:pStyle w:val="ListParagraph"/>
              <w:numPr>
                <w:ilvl w:val="0"/>
                <w:numId w:val="39"/>
              </w:numPr>
              <w:rPr>
                <w:rFonts w:ascii="Times New Roman" w:hAnsi="Times New Roman"/>
                <w:sz w:val="23"/>
                <w:szCs w:val="23"/>
              </w:rPr>
            </w:pPr>
            <w:r w:rsidRPr="007C3104">
              <w:rPr>
                <w:rFonts w:ascii="Times New Roman" w:hAnsi="Times New Roman"/>
                <w:sz w:val="23"/>
                <w:szCs w:val="23"/>
              </w:rPr>
              <w:t xml:space="preserve">Textbook adoption discussion </w:t>
            </w:r>
            <w:r w:rsidR="004028E0">
              <w:rPr>
                <w:rFonts w:ascii="Times New Roman" w:hAnsi="Times New Roman"/>
                <w:sz w:val="23"/>
                <w:szCs w:val="23"/>
              </w:rPr>
              <w:t>OER</w:t>
            </w:r>
          </w:p>
          <w:p w:rsidR="0068169C" w:rsidRPr="008C5B01" w:rsidRDefault="0068169C" w:rsidP="009A0324">
            <w:pPr>
              <w:pStyle w:val="ListParagraph"/>
              <w:rPr>
                <w:rFonts w:ascii="Times New Roman" w:hAnsi="Times New Roman"/>
                <w:sz w:val="23"/>
                <w:szCs w:val="23"/>
              </w:rPr>
            </w:pPr>
          </w:p>
        </w:tc>
        <w:tc>
          <w:tcPr>
            <w:tcW w:w="1084" w:type="pct"/>
          </w:tcPr>
          <w:p w:rsidR="003B12B7" w:rsidRDefault="003B12B7" w:rsidP="003B12B7">
            <w:pPr>
              <w:rPr>
                <w:rFonts w:ascii="Times New Roman" w:hAnsi="Times New Roman"/>
                <w:sz w:val="23"/>
                <w:szCs w:val="23"/>
              </w:rPr>
            </w:pPr>
          </w:p>
          <w:p w:rsidR="0068169C" w:rsidRDefault="0068169C" w:rsidP="003B12B7">
            <w:pPr>
              <w:rPr>
                <w:rFonts w:ascii="Times New Roman" w:hAnsi="Times New Roman"/>
                <w:sz w:val="23"/>
                <w:szCs w:val="23"/>
              </w:rPr>
            </w:pPr>
            <w:r>
              <w:rPr>
                <w:rFonts w:ascii="Times New Roman" w:hAnsi="Times New Roman"/>
                <w:sz w:val="23"/>
                <w:szCs w:val="23"/>
              </w:rPr>
              <w:t>A. Deb Selman</w:t>
            </w:r>
          </w:p>
          <w:p w:rsidR="0068169C" w:rsidRPr="006B54B9" w:rsidRDefault="0068169C" w:rsidP="003B12B7">
            <w:pPr>
              <w:rPr>
                <w:rFonts w:ascii="Times New Roman" w:hAnsi="Times New Roman"/>
                <w:sz w:val="23"/>
                <w:szCs w:val="23"/>
              </w:rPr>
            </w:pPr>
          </w:p>
        </w:tc>
        <w:tc>
          <w:tcPr>
            <w:tcW w:w="707" w:type="pct"/>
            <w:vAlign w:val="center"/>
          </w:tcPr>
          <w:p w:rsidR="0068169C" w:rsidRPr="006B54B9" w:rsidRDefault="0068169C" w:rsidP="0068169C">
            <w:pPr>
              <w:jc w:val="center"/>
              <w:rPr>
                <w:rFonts w:ascii="Times New Roman" w:hAnsi="Times New Roman"/>
                <w:sz w:val="23"/>
                <w:szCs w:val="23"/>
              </w:rPr>
            </w:pPr>
          </w:p>
        </w:tc>
      </w:tr>
      <w:tr w:rsidR="0068169C" w:rsidRPr="006B54B9" w:rsidTr="00D07C27">
        <w:trPr>
          <w:cantSplit/>
          <w:trHeight w:val="1134"/>
        </w:trPr>
        <w:tc>
          <w:tcPr>
            <w:tcW w:w="3209" w:type="pct"/>
            <w:vAlign w:val="center"/>
          </w:tcPr>
          <w:p w:rsidR="0068169C" w:rsidRDefault="0068169C" w:rsidP="0068169C">
            <w:pPr>
              <w:pStyle w:val="ListParagraph"/>
              <w:numPr>
                <w:ilvl w:val="0"/>
                <w:numId w:val="36"/>
              </w:numPr>
              <w:rPr>
                <w:rFonts w:ascii="Times New Roman" w:hAnsi="Times New Roman"/>
                <w:sz w:val="23"/>
                <w:szCs w:val="23"/>
              </w:rPr>
            </w:pPr>
            <w:r w:rsidRPr="006B54B9">
              <w:rPr>
                <w:rFonts w:ascii="Times New Roman" w:hAnsi="Times New Roman"/>
                <w:sz w:val="23"/>
                <w:szCs w:val="23"/>
              </w:rPr>
              <w:t>Students</w:t>
            </w:r>
          </w:p>
          <w:p w:rsidR="00CE7A50" w:rsidRPr="00375DF4" w:rsidRDefault="004028E0" w:rsidP="009A0324">
            <w:pPr>
              <w:pStyle w:val="ListParagraph"/>
              <w:numPr>
                <w:ilvl w:val="0"/>
                <w:numId w:val="23"/>
              </w:numPr>
              <w:rPr>
                <w:rFonts w:ascii="Times New Roman" w:hAnsi="Times New Roman"/>
                <w:sz w:val="23"/>
                <w:szCs w:val="23"/>
              </w:rPr>
            </w:pPr>
            <w:r>
              <w:rPr>
                <w:rFonts w:ascii="Times New Roman" w:hAnsi="Times New Roman"/>
                <w:sz w:val="23"/>
                <w:szCs w:val="23"/>
              </w:rPr>
              <w:t xml:space="preserve">ARC Committee </w:t>
            </w:r>
            <w:r w:rsidR="009A0324">
              <w:rPr>
                <w:rFonts w:ascii="Times New Roman" w:hAnsi="Times New Roman"/>
                <w:sz w:val="23"/>
                <w:szCs w:val="23"/>
              </w:rPr>
              <w:t>Administrative Policy</w:t>
            </w:r>
            <w:r w:rsidR="0028240B">
              <w:rPr>
                <w:rFonts w:ascii="Times New Roman" w:hAnsi="Times New Roman"/>
                <w:sz w:val="23"/>
                <w:szCs w:val="23"/>
              </w:rPr>
              <w:t xml:space="preserve"> AS and RN to BSN</w:t>
            </w:r>
            <w:bookmarkStart w:id="0" w:name="_GoBack"/>
            <w:bookmarkEnd w:id="0"/>
          </w:p>
        </w:tc>
        <w:tc>
          <w:tcPr>
            <w:tcW w:w="1084" w:type="pct"/>
            <w:vAlign w:val="center"/>
          </w:tcPr>
          <w:p w:rsidR="0068169C" w:rsidRPr="006B54B9" w:rsidRDefault="004028E0" w:rsidP="009A0324">
            <w:pPr>
              <w:rPr>
                <w:rFonts w:ascii="Times New Roman" w:hAnsi="Times New Roman"/>
                <w:sz w:val="23"/>
                <w:szCs w:val="23"/>
              </w:rPr>
            </w:pPr>
            <w:r>
              <w:rPr>
                <w:rFonts w:ascii="Times New Roman" w:hAnsi="Times New Roman"/>
                <w:sz w:val="23"/>
                <w:szCs w:val="23"/>
              </w:rPr>
              <w:t>A. Deb Selman</w:t>
            </w:r>
          </w:p>
        </w:tc>
        <w:tc>
          <w:tcPr>
            <w:tcW w:w="707" w:type="pct"/>
            <w:vAlign w:val="center"/>
          </w:tcPr>
          <w:p w:rsidR="0068169C" w:rsidRPr="002916B0" w:rsidRDefault="0068169C" w:rsidP="0068169C">
            <w:pPr>
              <w:jc w:val="center"/>
              <w:rPr>
                <w:rFonts w:ascii="Times New Roman" w:hAnsi="Times New Roman"/>
              </w:rPr>
            </w:pPr>
          </w:p>
        </w:tc>
      </w:tr>
      <w:tr w:rsidR="0068169C" w:rsidRPr="006B54B9" w:rsidTr="003B12B7">
        <w:trPr>
          <w:cantSplit/>
          <w:trHeight w:val="302"/>
        </w:trPr>
        <w:tc>
          <w:tcPr>
            <w:tcW w:w="3209" w:type="pct"/>
            <w:vAlign w:val="center"/>
            <w:hideMark/>
          </w:tcPr>
          <w:p w:rsidR="0068169C" w:rsidRDefault="0068169C" w:rsidP="0068169C">
            <w:pPr>
              <w:rPr>
                <w:rFonts w:ascii="Times New Roman" w:hAnsi="Times New Roman"/>
                <w:b/>
                <w:sz w:val="23"/>
                <w:szCs w:val="23"/>
              </w:rPr>
            </w:pPr>
            <w:r w:rsidRPr="006B54B9">
              <w:rPr>
                <w:rFonts w:ascii="Times New Roman" w:hAnsi="Times New Roman"/>
                <w:b/>
                <w:sz w:val="23"/>
                <w:szCs w:val="23"/>
              </w:rPr>
              <w:lastRenderedPageBreak/>
              <w:t>Other Business</w:t>
            </w:r>
          </w:p>
          <w:p w:rsidR="00D76226" w:rsidRDefault="00D76226" w:rsidP="00CE7A50">
            <w:pPr>
              <w:pStyle w:val="ListParagraph"/>
              <w:numPr>
                <w:ilvl w:val="0"/>
                <w:numId w:val="42"/>
              </w:numPr>
              <w:rPr>
                <w:rFonts w:ascii="Times New Roman" w:hAnsi="Times New Roman"/>
                <w:sz w:val="23"/>
                <w:szCs w:val="23"/>
              </w:rPr>
            </w:pPr>
            <w:r>
              <w:rPr>
                <w:rFonts w:ascii="Times New Roman" w:hAnsi="Times New Roman"/>
                <w:sz w:val="23"/>
                <w:szCs w:val="23"/>
              </w:rPr>
              <w:t xml:space="preserve">Simulation </w:t>
            </w:r>
            <w:r w:rsidR="004028E0">
              <w:rPr>
                <w:rFonts w:ascii="Times New Roman" w:hAnsi="Times New Roman"/>
                <w:sz w:val="23"/>
                <w:szCs w:val="23"/>
              </w:rPr>
              <w:t>Update</w:t>
            </w:r>
            <w:r w:rsidR="009A0324">
              <w:rPr>
                <w:rFonts w:ascii="Times New Roman" w:hAnsi="Times New Roman"/>
                <w:sz w:val="23"/>
                <w:szCs w:val="23"/>
              </w:rPr>
              <w:t xml:space="preserve"> – Center of Excellence</w:t>
            </w:r>
          </w:p>
          <w:p w:rsidR="004028E0" w:rsidRDefault="004028E0" w:rsidP="00CE7A50">
            <w:pPr>
              <w:pStyle w:val="ListParagraph"/>
              <w:numPr>
                <w:ilvl w:val="0"/>
                <w:numId w:val="42"/>
              </w:numPr>
              <w:rPr>
                <w:rFonts w:ascii="Times New Roman" w:hAnsi="Times New Roman"/>
                <w:sz w:val="23"/>
                <w:szCs w:val="23"/>
              </w:rPr>
            </w:pPr>
            <w:proofErr w:type="spellStart"/>
            <w:r>
              <w:rPr>
                <w:rFonts w:ascii="Times New Roman" w:hAnsi="Times New Roman"/>
                <w:sz w:val="23"/>
                <w:szCs w:val="23"/>
              </w:rPr>
              <w:t>Plickers</w:t>
            </w:r>
            <w:proofErr w:type="spellEnd"/>
          </w:p>
          <w:p w:rsidR="009A0324" w:rsidRDefault="009A0324" w:rsidP="00CE7A50">
            <w:pPr>
              <w:pStyle w:val="ListParagraph"/>
              <w:numPr>
                <w:ilvl w:val="0"/>
                <w:numId w:val="42"/>
              </w:numPr>
              <w:rPr>
                <w:rFonts w:ascii="Times New Roman" w:hAnsi="Times New Roman"/>
                <w:sz w:val="23"/>
                <w:szCs w:val="23"/>
              </w:rPr>
            </w:pPr>
            <w:r>
              <w:rPr>
                <w:rFonts w:ascii="Times New Roman" w:hAnsi="Times New Roman"/>
                <w:sz w:val="23"/>
                <w:szCs w:val="23"/>
              </w:rPr>
              <w:t>D</w:t>
            </w:r>
            <w:r w:rsidRPr="009A0324">
              <w:rPr>
                <w:rFonts w:ascii="Times New Roman" w:hAnsi="Times New Roman"/>
                <w:sz w:val="23"/>
                <w:szCs w:val="23"/>
              </w:rPr>
              <w:t xml:space="preserve">iscriminator and point </w:t>
            </w:r>
            <w:proofErr w:type="spellStart"/>
            <w:r w:rsidRPr="009A0324">
              <w:rPr>
                <w:rFonts w:ascii="Times New Roman" w:hAnsi="Times New Roman"/>
                <w:sz w:val="23"/>
                <w:szCs w:val="23"/>
              </w:rPr>
              <w:t>biserial</w:t>
            </w:r>
            <w:proofErr w:type="spellEnd"/>
            <w:r w:rsidRPr="009A0324">
              <w:rPr>
                <w:rFonts w:ascii="Times New Roman" w:hAnsi="Times New Roman"/>
                <w:sz w:val="23"/>
                <w:szCs w:val="23"/>
              </w:rPr>
              <w:t xml:space="preserve"> on an exam</w:t>
            </w:r>
          </w:p>
          <w:p w:rsidR="009A0324" w:rsidRDefault="009A0324" w:rsidP="00CE7A50">
            <w:pPr>
              <w:pStyle w:val="ListParagraph"/>
              <w:numPr>
                <w:ilvl w:val="0"/>
                <w:numId w:val="42"/>
              </w:numPr>
              <w:rPr>
                <w:rFonts w:ascii="Times New Roman" w:hAnsi="Times New Roman"/>
                <w:sz w:val="23"/>
                <w:szCs w:val="23"/>
              </w:rPr>
            </w:pPr>
            <w:r>
              <w:rPr>
                <w:rFonts w:ascii="Times New Roman" w:hAnsi="Times New Roman"/>
                <w:sz w:val="23"/>
                <w:szCs w:val="23"/>
              </w:rPr>
              <w:t xml:space="preserve">Assessment Evaluation </w:t>
            </w:r>
            <w:r w:rsidR="001422F4">
              <w:rPr>
                <w:rFonts w:ascii="Times New Roman" w:hAnsi="Times New Roman"/>
                <w:sz w:val="23"/>
                <w:szCs w:val="23"/>
              </w:rPr>
              <w:t xml:space="preserve">Committee </w:t>
            </w:r>
            <w:r>
              <w:rPr>
                <w:rFonts w:ascii="Times New Roman" w:hAnsi="Times New Roman"/>
                <w:sz w:val="23"/>
                <w:szCs w:val="23"/>
              </w:rPr>
              <w:t>Update</w:t>
            </w:r>
          </w:p>
          <w:p w:rsidR="009A0324" w:rsidRDefault="009A0324" w:rsidP="00CE7A50">
            <w:pPr>
              <w:pStyle w:val="ListParagraph"/>
              <w:numPr>
                <w:ilvl w:val="0"/>
                <w:numId w:val="42"/>
              </w:numPr>
              <w:rPr>
                <w:rFonts w:ascii="Times New Roman" w:hAnsi="Times New Roman"/>
                <w:sz w:val="23"/>
                <w:szCs w:val="23"/>
              </w:rPr>
            </w:pPr>
            <w:r>
              <w:rPr>
                <w:rFonts w:ascii="Times New Roman" w:hAnsi="Times New Roman"/>
                <w:sz w:val="23"/>
                <w:szCs w:val="23"/>
              </w:rPr>
              <w:t>SWFL Diabetes Conference</w:t>
            </w:r>
          </w:p>
          <w:p w:rsidR="00A350D6" w:rsidRDefault="00A350D6" w:rsidP="00CE7A50">
            <w:pPr>
              <w:pStyle w:val="ListParagraph"/>
              <w:numPr>
                <w:ilvl w:val="0"/>
                <w:numId w:val="42"/>
              </w:numPr>
              <w:rPr>
                <w:rFonts w:ascii="Times New Roman" w:hAnsi="Times New Roman"/>
                <w:sz w:val="23"/>
                <w:szCs w:val="23"/>
              </w:rPr>
            </w:pPr>
            <w:r>
              <w:rPr>
                <w:rFonts w:ascii="Times New Roman" w:hAnsi="Times New Roman"/>
                <w:sz w:val="23"/>
                <w:szCs w:val="23"/>
              </w:rPr>
              <w:t>Other Discussion</w:t>
            </w:r>
          </w:p>
          <w:p w:rsidR="0068169C" w:rsidRPr="00375DF4" w:rsidRDefault="0068169C" w:rsidP="0068169C">
            <w:pPr>
              <w:ind w:left="720"/>
              <w:rPr>
                <w:rFonts w:ascii="Times New Roman" w:hAnsi="Times New Roman"/>
                <w:sz w:val="23"/>
                <w:szCs w:val="23"/>
              </w:rPr>
            </w:pPr>
          </w:p>
          <w:p w:rsidR="0068169C" w:rsidRPr="006B54B9" w:rsidRDefault="0068169C" w:rsidP="0068169C">
            <w:pPr>
              <w:rPr>
                <w:rFonts w:ascii="Times New Roman" w:hAnsi="Times New Roman"/>
                <w:b/>
                <w:sz w:val="23"/>
                <w:szCs w:val="23"/>
              </w:rPr>
            </w:pPr>
          </w:p>
        </w:tc>
        <w:tc>
          <w:tcPr>
            <w:tcW w:w="1084" w:type="pct"/>
          </w:tcPr>
          <w:p w:rsidR="003B12B7" w:rsidRDefault="003B12B7" w:rsidP="003B12B7">
            <w:pPr>
              <w:rPr>
                <w:rFonts w:ascii="Times New Roman" w:hAnsi="Times New Roman"/>
                <w:sz w:val="23"/>
                <w:szCs w:val="23"/>
              </w:rPr>
            </w:pPr>
          </w:p>
          <w:p w:rsidR="00D76226" w:rsidRDefault="00D76226" w:rsidP="003B12B7">
            <w:pPr>
              <w:rPr>
                <w:rFonts w:ascii="Times New Roman" w:hAnsi="Times New Roman"/>
                <w:sz w:val="23"/>
                <w:szCs w:val="23"/>
              </w:rPr>
            </w:pPr>
            <w:r>
              <w:rPr>
                <w:rFonts w:ascii="Times New Roman" w:hAnsi="Times New Roman"/>
                <w:sz w:val="23"/>
                <w:szCs w:val="23"/>
              </w:rPr>
              <w:t>A. Lynne Crandall</w:t>
            </w:r>
          </w:p>
          <w:p w:rsidR="004028E0" w:rsidRDefault="009A0324" w:rsidP="003B12B7">
            <w:pPr>
              <w:rPr>
                <w:rFonts w:ascii="Times New Roman" w:hAnsi="Times New Roman"/>
                <w:sz w:val="23"/>
                <w:szCs w:val="23"/>
              </w:rPr>
            </w:pPr>
            <w:r>
              <w:rPr>
                <w:rFonts w:ascii="Times New Roman" w:hAnsi="Times New Roman"/>
                <w:sz w:val="23"/>
                <w:szCs w:val="23"/>
              </w:rPr>
              <w:t>B</w:t>
            </w:r>
            <w:r w:rsidR="004028E0">
              <w:rPr>
                <w:rFonts w:ascii="Times New Roman" w:hAnsi="Times New Roman"/>
                <w:sz w:val="23"/>
                <w:szCs w:val="23"/>
              </w:rPr>
              <w:t>. Donna Johnson and Gayle Deane</w:t>
            </w:r>
          </w:p>
          <w:p w:rsidR="009A0324" w:rsidRDefault="009A0324" w:rsidP="003B12B7">
            <w:pPr>
              <w:rPr>
                <w:rFonts w:ascii="Times New Roman" w:hAnsi="Times New Roman"/>
                <w:sz w:val="23"/>
                <w:szCs w:val="23"/>
              </w:rPr>
            </w:pPr>
            <w:r>
              <w:rPr>
                <w:rFonts w:ascii="Times New Roman" w:hAnsi="Times New Roman"/>
                <w:sz w:val="23"/>
                <w:szCs w:val="23"/>
              </w:rPr>
              <w:t>C. Gayle Wetzel</w:t>
            </w:r>
          </w:p>
          <w:p w:rsidR="009A0324" w:rsidRDefault="009A0324" w:rsidP="003B12B7">
            <w:pPr>
              <w:rPr>
                <w:rFonts w:ascii="Times New Roman" w:hAnsi="Times New Roman"/>
                <w:sz w:val="23"/>
                <w:szCs w:val="23"/>
              </w:rPr>
            </w:pPr>
            <w:r>
              <w:rPr>
                <w:rFonts w:ascii="Times New Roman" w:hAnsi="Times New Roman"/>
                <w:sz w:val="23"/>
                <w:szCs w:val="23"/>
              </w:rPr>
              <w:t>D. Pat Zebrook</w:t>
            </w:r>
          </w:p>
          <w:p w:rsidR="009A0324" w:rsidRDefault="009A0324" w:rsidP="003B12B7">
            <w:pPr>
              <w:rPr>
                <w:rFonts w:ascii="Times New Roman" w:hAnsi="Times New Roman"/>
                <w:sz w:val="23"/>
                <w:szCs w:val="23"/>
              </w:rPr>
            </w:pPr>
            <w:r>
              <w:rPr>
                <w:rFonts w:ascii="Times New Roman" w:hAnsi="Times New Roman"/>
                <w:sz w:val="23"/>
                <w:szCs w:val="23"/>
              </w:rPr>
              <w:t>E. Deb Selman</w:t>
            </w:r>
          </w:p>
          <w:p w:rsidR="00A350D6" w:rsidRPr="006B54B9" w:rsidRDefault="00A350D6" w:rsidP="003B12B7">
            <w:pPr>
              <w:rPr>
                <w:rFonts w:ascii="Times New Roman" w:hAnsi="Times New Roman"/>
                <w:sz w:val="23"/>
                <w:szCs w:val="23"/>
              </w:rPr>
            </w:pPr>
            <w:r>
              <w:rPr>
                <w:rFonts w:ascii="Times New Roman" w:hAnsi="Times New Roman"/>
                <w:sz w:val="23"/>
                <w:szCs w:val="23"/>
              </w:rPr>
              <w:t>F. Open</w:t>
            </w:r>
          </w:p>
        </w:tc>
        <w:tc>
          <w:tcPr>
            <w:tcW w:w="707" w:type="pct"/>
            <w:vAlign w:val="center"/>
          </w:tcPr>
          <w:p w:rsidR="0068169C" w:rsidRPr="006B54B9" w:rsidRDefault="0068169C" w:rsidP="0068169C">
            <w:pPr>
              <w:jc w:val="center"/>
              <w:rPr>
                <w:rFonts w:ascii="Times New Roman" w:hAnsi="Times New Roman"/>
                <w:sz w:val="23"/>
                <w:szCs w:val="23"/>
              </w:rPr>
            </w:pPr>
          </w:p>
        </w:tc>
      </w:tr>
      <w:tr w:rsidR="0068169C" w:rsidRPr="006B54B9" w:rsidTr="00D07C27">
        <w:trPr>
          <w:cantSplit/>
          <w:trHeight w:val="1134"/>
        </w:trPr>
        <w:tc>
          <w:tcPr>
            <w:tcW w:w="3209" w:type="pct"/>
            <w:vAlign w:val="center"/>
            <w:hideMark/>
          </w:tcPr>
          <w:p w:rsidR="0068169C" w:rsidRPr="006B54B9" w:rsidRDefault="0068169C" w:rsidP="0068169C">
            <w:pPr>
              <w:rPr>
                <w:rFonts w:ascii="Times New Roman" w:hAnsi="Times New Roman"/>
                <w:sz w:val="23"/>
                <w:szCs w:val="23"/>
              </w:rPr>
            </w:pPr>
            <w:r w:rsidRPr="006B54B9">
              <w:rPr>
                <w:rFonts w:ascii="Times New Roman" w:hAnsi="Times New Roman"/>
                <w:sz w:val="23"/>
                <w:szCs w:val="23"/>
              </w:rPr>
              <w:t xml:space="preserve"> Adjourn</w:t>
            </w:r>
            <w:r w:rsidR="004028E0">
              <w:rPr>
                <w:rFonts w:ascii="Times New Roman" w:hAnsi="Times New Roman"/>
                <w:sz w:val="23"/>
                <w:szCs w:val="23"/>
              </w:rPr>
              <w:t xml:space="preserve"> for Lunch</w:t>
            </w:r>
          </w:p>
        </w:tc>
        <w:tc>
          <w:tcPr>
            <w:tcW w:w="1084" w:type="pct"/>
            <w:vAlign w:val="center"/>
          </w:tcPr>
          <w:p w:rsidR="0068169C" w:rsidRPr="006B54B9" w:rsidRDefault="0068169C" w:rsidP="0068169C">
            <w:pPr>
              <w:jc w:val="center"/>
              <w:rPr>
                <w:rFonts w:ascii="Times New Roman" w:hAnsi="Times New Roman"/>
                <w:sz w:val="23"/>
                <w:szCs w:val="23"/>
              </w:rPr>
            </w:pPr>
          </w:p>
        </w:tc>
        <w:tc>
          <w:tcPr>
            <w:tcW w:w="707" w:type="pct"/>
            <w:vAlign w:val="center"/>
          </w:tcPr>
          <w:p w:rsidR="0068169C" w:rsidRPr="006B54B9" w:rsidRDefault="004028E0" w:rsidP="0068169C">
            <w:pPr>
              <w:jc w:val="center"/>
              <w:rPr>
                <w:rFonts w:ascii="Times New Roman" w:hAnsi="Times New Roman"/>
                <w:sz w:val="23"/>
                <w:szCs w:val="23"/>
              </w:rPr>
            </w:pPr>
            <w:r>
              <w:rPr>
                <w:rFonts w:ascii="Times New Roman" w:hAnsi="Times New Roman"/>
                <w:sz w:val="23"/>
                <w:szCs w:val="23"/>
              </w:rPr>
              <w:t>12:30</w:t>
            </w:r>
          </w:p>
        </w:tc>
      </w:tr>
    </w:tbl>
    <w:p w:rsidR="005F3599" w:rsidRDefault="005F3599" w:rsidP="007C361F">
      <w:pPr>
        <w:spacing w:after="160" w:line="259" w:lineRule="auto"/>
        <w:contextualSpacing/>
        <w:jc w:val="center"/>
        <w:rPr>
          <w:rFonts w:asciiTheme="minorHAnsi" w:eastAsiaTheme="minorHAnsi" w:hAnsiTheme="minorHAnsi" w:cstheme="minorBidi"/>
          <w:b/>
          <w:color w:val="auto"/>
          <w:sz w:val="22"/>
          <w:szCs w:val="22"/>
        </w:rPr>
      </w:pPr>
    </w:p>
    <w:p w:rsidR="005F3599" w:rsidRDefault="005F3599">
      <w:pPr>
        <w:spacing w:after="160" w:line="259" w:lineRule="auto"/>
        <w:rPr>
          <w:rFonts w:asciiTheme="minorHAnsi" w:eastAsiaTheme="minorHAnsi" w:hAnsiTheme="minorHAnsi" w:cstheme="minorBidi"/>
          <w:b/>
          <w:color w:val="auto"/>
          <w:sz w:val="22"/>
          <w:szCs w:val="22"/>
        </w:rPr>
      </w:pPr>
      <w:r>
        <w:rPr>
          <w:rFonts w:asciiTheme="minorHAnsi" w:eastAsiaTheme="minorHAnsi" w:hAnsiTheme="minorHAnsi" w:cstheme="minorBidi"/>
          <w:b/>
          <w:color w:val="auto"/>
          <w:sz w:val="22"/>
          <w:szCs w:val="22"/>
        </w:rPr>
        <w:br w:type="page"/>
      </w:r>
    </w:p>
    <w:p w:rsidR="005F3599" w:rsidRDefault="005F3599" w:rsidP="007C361F">
      <w:pPr>
        <w:spacing w:after="160" w:line="259" w:lineRule="auto"/>
        <w:contextualSpacing/>
        <w:jc w:val="center"/>
        <w:rPr>
          <w:rFonts w:asciiTheme="minorHAnsi" w:eastAsiaTheme="minorHAnsi" w:hAnsiTheme="minorHAnsi" w:cstheme="minorBidi"/>
          <w:b/>
          <w:color w:val="auto"/>
          <w:sz w:val="22"/>
          <w:szCs w:val="22"/>
        </w:rPr>
      </w:pPr>
    </w:p>
    <w:p w:rsidR="007C361F" w:rsidRPr="007C361F" w:rsidRDefault="007C361F" w:rsidP="007C361F">
      <w:pPr>
        <w:spacing w:after="160" w:line="259" w:lineRule="auto"/>
        <w:contextualSpacing/>
        <w:jc w:val="center"/>
        <w:rPr>
          <w:rFonts w:asciiTheme="minorHAnsi" w:eastAsiaTheme="minorHAnsi" w:hAnsiTheme="minorHAnsi" w:cstheme="minorBidi"/>
          <w:b/>
          <w:color w:val="auto"/>
          <w:sz w:val="22"/>
          <w:szCs w:val="22"/>
        </w:rPr>
      </w:pPr>
      <w:r w:rsidRPr="007C361F">
        <w:rPr>
          <w:rFonts w:asciiTheme="minorHAnsi" w:eastAsiaTheme="minorHAnsi" w:hAnsiTheme="minorHAnsi" w:cstheme="minorBidi"/>
          <w:b/>
          <w:color w:val="auto"/>
          <w:sz w:val="22"/>
          <w:szCs w:val="22"/>
        </w:rPr>
        <w:t xml:space="preserve">Florida </w:t>
      </w:r>
      <w:proofErr w:type="spellStart"/>
      <w:r w:rsidRPr="007C361F">
        <w:rPr>
          <w:rFonts w:asciiTheme="minorHAnsi" w:eastAsiaTheme="minorHAnsi" w:hAnsiTheme="minorHAnsi" w:cstheme="minorBidi"/>
          <w:b/>
          <w:color w:val="auto"/>
          <w:sz w:val="22"/>
          <w:szCs w:val="22"/>
        </w:rPr>
        <w:t>SouthWestern</w:t>
      </w:r>
      <w:proofErr w:type="spellEnd"/>
      <w:r w:rsidRPr="007C361F">
        <w:rPr>
          <w:rFonts w:asciiTheme="minorHAnsi" w:eastAsiaTheme="minorHAnsi" w:hAnsiTheme="minorHAnsi" w:cstheme="minorBidi"/>
          <w:b/>
          <w:color w:val="auto"/>
          <w:sz w:val="22"/>
          <w:szCs w:val="22"/>
        </w:rPr>
        <w:t xml:space="preserve"> State College</w:t>
      </w:r>
    </w:p>
    <w:p w:rsidR="007C361F" w:rsidRPr="007C361F" w:rsidRDefault="007C361F" w:rsidP="007C361F">
      <w:pPr>
        <w:spacing w:after="160"/>
        <w:contextualSpacing/>
        <w:jc w:val="center"/>
        <w:rPr>
          <w:rFonts w:asciiTheme="minorHAnsi" w:eastAsiaTheme="minorHAnsi" w:hAnsiTheme="minorHAnsi" w:cstheme="minorBidi"/>
          <w:b/>
          <w:color w:val="auto"/>
          <w:sz w:val="22"/>
          <w:szCs w:val="22"/>
        </w:rPr>
      </w:pPr>
      <w:r w:rsidRPr="007C361F">
        <w:rPr>
          <w:rFonts w:asciiTheme="minorHAnsi" w:eastAsiaTheme="minorHAnsi" w:hAnsiTheme="minorHAnsi" w:cstheme="minorBidi"/>
          <w:b/>
          <w:color w:val="auto"/>
          <w:sz w:val="22"/>
          <w:szCs w:val="22"/>
        </w:rPr>
        <w:t>ASN program</w:t>
      </w:r>
    </w:p>
    <w:p w:rsidR="007C361F" w:rsidRPr="007C361F" w:rsidRDefault="00357ECB" w:rsidP="007C361F">
      <w:pPr>
        <w:spacing w:after="160"/>
        <w:contextualSpacing/>
        <w:jc w:val="center"/>
        <w:rPr>
          <w:rFonts w:asciiTheme="minorHAnsi" w:eastAsiaTheme="minorHAnsi" w:hAnsiTheme="minorHAnsi" w:cstheme="minorBidi"/>
          <w:b/>
          <w:color w:val="auto"/>
          <w:sz w:val="22"/>
          <w:szCs w:val="22"/>
        </w:rPr>
      </w:pPr>
      <w:r>
        <w:rPr>
          <w:rFonts w:asciiTheme="minorHAnsi" w:eastAsiaTheme="minorHAnsi" w:hAnsiTheme="minorHAnsi" w:cstheme="minorBidi"/>
          <w:b/>
          <w:color w:val="auto"/>
          <w:sz w:val="22"/>
          <w:szCs w:val="22"/>
        </w:rPr>
        <w:t>ATI G</w:t>
      </w:r>
      <w:r w:rsidR="007C361F" w:rsidRPr="007C361F">
        <w:rPr>
          <w:rFonts w:asciiTheme="minorHAnsi" w:eastAsiaTheme="minorHAnsi" w:hAnsiTheme="minorHAnsi" w:cstheme="minorBidi"/>
          <w:b/>
          <w:color w:val="auto"/>
          <w:sz w:val="22"/>
          <w:szCs w:val="22"/>
        </w:rPr>
        <w:t>rading Rubric Options</w:t>
      </w:r>
    </w:p>
    <w:p w:rsidR="007C361F" w:rsidRPr="007C361F" w:rsidRDefault="007C361F" w:rsidP="007C361F">
      <w:pPr>
        <w:spacing w:after="160" w:line="259" w:lineRule="auto"/>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Current Rubric</w:t>
      </w:r>
    </w:p>
    <w:tbl>
      <w:tblPr>
        <w:tblStyle w:val="TableGrid1"/>
        <w:tblW w:w="0" w:type="auto"/>
        <w:tblLook w:val="04A0" w:firstRow="1" w:lastRow="0" w:firstColumn="1" w:lastColumn="0" w:noHBand="0" w:noVBand="1"/>
      </w:tblPr>
      <w:tblGrid>
        <w:gridCol w:w="1870"/>
        <w:gridCol w:w="1870"/>
        <w:gridCol w:w="1870"/>
        <w:gridCol w:w="1870"/>
        <w:gridCol w:w="1870"/>
      </w:tblGrid>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 xml:space="preserve">Points awarded for practice test, 10 </w:t>
            </w:r>
            <w:proofErr w:type="spellStart"/>
            <w:r w:rsidRPr="007C361F">
              <w:rPr>
                <w:rFonts w:asciiTheme="minorHAnsi" w:eastAsiaTheme="minorHAnsi" w:hAnsiTheme="minorHAnsi" w:cstheme="minorBidi"/>
                <w:color w:val="auto"/>
                <w:sz w:val="22"/>
                <w:szCs w:val="22"/>
              </w:rPr>
              <w:t>pts</w:t>
            </w:r>
            <w:proofErr w:type="spellEnd"/>
            <w:r w:rsidRPr="007C361F">
              <w:rPr>
                <w:rFonts w:asciiTheme="minorHAnsi" w:eastAsiaTheme="minorHAnsi" w:hAnsiTheme="minorHAnsi" w:cstheme="minorBidi"/>
                <w:color w:val="auto"/>
                <w:sz w:val="22"/>
                <w:szCs w:val="22"/>
              </w:rPr>
              <w:t xml:space="preserve"> each, </w:t>
            </w:r>
          </w:p>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A and B</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Points awarded for remediation time in ATI or Templates</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Level of proficiency on proctored assessment</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Points awarded for proficiency level on proctored assessment</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Total Points Awarded</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level 3</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60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100</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level 2</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50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90</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level 1</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10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50</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below level 1</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40</w:t>
            </w:r>
          </w:p>
        </w:tc>
      </w:tr>
    </w:tbl>
    <w:p w:rsidR="007C361F" w:rsidRPr="007C361F" w:rsidRDefault="007C361F" w:rsidP="007C361F">
      <w:pPr>
        <w:spacing w:after="160" w:line="259" w:lineRule="auto"/>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Option 1:</w:t>
      </w:r>
    </w:p>
    <w:tbl>
      <w:tblPr>
        <w:tblStyle w:val="TableGrid1"/>
        <w:tblW w:w="0" w:type="auto"/>
        <w:tblLook w:val="04A0" w:firstRow="1" w:lastRow="0" w:firstColumn="1" w:lastColumn="0" w:noHBand="0" w:noVBand="1"/>
      </w:tblPr>
      <w:tblGrid>
        <w:gridCol w:w="1870"/>
        <w:gridCol w:w="1870"/>
        <w:gridCol w:w="1870"/>
        <w:gridCol w:w="1870"/>
        <w:gridCol w:w="1870"/>
      </w:tblGrid>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 xml:space="preserve">Points awarded for practice test, 10 </w:t>
            </w:r>
            <w:proofErr w:type="spellStart"/>
            <w:r w:rsidRPr="007C361F">
              <w:rPr>
                <w:rFonts w:asciiTheme="minorHAnsi" w:eastAsiaTheme="minorHAnsi" w:hAnsiTheme="minorHAnsi" w:cstheme="minorBidi"/>
                <w:color w:val="auto"/>
                <w:sz w:val="22"/>
                <w:szCs w:val="22"/>
              </w:rPr>
              <w:t>pts</w:t>
            </w:r>
            <w:proofErr w:type="spellEnd"/>
            <w:r w:rsidRPr="007C361F">
              <w:rPr>
                <w:rFonts w:asciiTheme="minorHAnsi" w:eastAsiaTheme="minorHAnsi" w:hAnsiTheme="minorHAnsi" w:cstheme="minorBidi"/>
                <w:color w:val="auto"/>
                <w:sz w:val="22"/>
                <w:szCs w:val="22"/>
              </w:rPr>
              <w:t xml:space="preserve"> each, </w:t>
            </w:r>
          </w:p>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A and B</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Points awarded for remediation time in ATI or Templates</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Level of proficiency on proctored assessment</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Points awarded for proficiency level on proctored assessment</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Total Points Awarded</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level 3</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60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100</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level 2</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50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90</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level 1</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40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80</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below level 1</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30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70</w:t>
            </w:r>
          </w:p>
        </w:tc>
      </w:tr>
    </w:tbl>
    <w:p w:rsidR="007C361F" w:rsidRPr="007C361F" w:rsidRDefault="007C361F" w:rsidP="007C361F">
      <w:pPr>
        <w:spacing w:after="160" w:line="259" w:lineRule="auto"/>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 xml:space="preserve">Option 2: </w:t>
      </w:r>
    </w:p>
    <w:tbl>
      <w:tblPr>
        <w:tblStyle w:val="TableGrid1"/>
        <w:tblW w:w="0" w:type="auto"/>
        <w:tblLook w:val="04A0" w:firstRow="1" w:lastRow="0" w:firstColumn="1" w:lastColumn="0" w:noHBand="0" w:noVBand="1"/>
      </w:tblPr>
      <w:tblGrid>
        <w:gridCol w:w="1870"/>
        <w:gridCol w:w="1870"/>
        <w:gridCol w:w="1870"/>
        <w:gridCol w:w="1870"/>
        <w:gridCol w:w="1870"/>
      </w:tblGrid>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 xml:space="preserve">Points awarded for practice test, 10 </w:t>
            </w:r>
            <w:proofErr w:type="spellStart"/>
            <w:r w:rsidRPr="007C361F">
              <w:rPr>
                <w:rFonts w:asciiTheme="minorHAnsi" w:eastAsiaTheme="minorHAnsi" w:hAnsiTheme="minorHAnsi" w:cstheme="minorBidi"/>
                <w:color w:val="auto"/>
                <w:sz w:val="22"/>
                <w:szCs w:val="22"/>
              </w:rPr>
              <w:t>pts</w:t>
            </w:r>
            <w:proofErr w:type="spellEnd"/>
            <w:r w:rsidRPr="007C361F">
              <w:rPr>
                <w:rFonts w:asciiTheme="minorHAnsi" w:eastAsiaTheme="minorHAnsi" w:hAnsiTheme="minorHAnsi" w:cstheme="minorBidi"/>
                <w:color w:val="auto"/>
                <w:sz w:val="22"/>
                <w:szCs w:val="22"/>
              </w:rPr>
              <w:t xml:space="preserve"> each, </w:t>
            </w:r>
          </w:p>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A and B</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Points awarded for remediation time in ATI or Templates</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Level of proficiency on proctored assessment</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Points awarded for proficiency level on proctored assessment</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Total Points Awarded</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level 3</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60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100</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level 2</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45</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85</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level 1</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30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70</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below level 1</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60</w:t>
            </w:r>
          </w:p>
        </w:tc>
      </w:tr>
    </w:tbl>
    <w:p w:rsidR="007C361F" w:rsidRPr="007C361F" w:rsidRDefault="007C361F" w:rsidP="007C361F">
      <w:pPr>
        <w:spacing w:after="160" w:line="259" w:lineRule="auto"/>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Option 3:</w:t>
      </w:r>
    </w:p>
    <w:tbl>
      <w:tblPr>
        <w:tblStyle w:val="TableGrid1"/>
        <w:tblW w:w="0" w:type="auto"/>
        <w:tblLook w:val="04A0" w:firstRow="1" w:lastRow="0" w:firstColumn="1" w:lastColumn="0" w:noHBand="0" w:noVBand="1"/>
      </w:tblPr>
      <w:tblGrid>
        <w:gridCol w:w="1870"/>
        <w:gridCol w:w="1870"/>
        <w:gridCol w:w="1870"/>
        <w:gridCol w:w="1870"/>
        <w:gridCol w:w="1870"/>
      </w:tblGrid>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 xml:space="preserve">Points awarded for practice test, 10 </w:t>
            </w:r>
            <w:proofErr w:type="spellStart"/>
            <w:r w:rsidRPr="007C361F">
              <w:rPr>
                <w:rFonts w:asciiTheme="minorHAnsi" w:eastAsiaTheme="minorHAnsi" w:hAnsiTheme="minorHAnsi" w:cstheme="minorBidi"/>
                <w:color w:val="auto"/>
                <w:sz w:val="22"/>
                <w:szCs w:val="22"/>
              </w:rPr>
              <w:t>pts</w:t>
            </w:r>
            <w:proofErr w:type="spellEnd"/>
            <w:r w:rsidRPr="007C361F">
              <w:rPr>
                <w:rFonts w:asciiTheme="minorHAnsi" w:eastAsiaTheme="minorHAnsi" w:hAnsiTheme="minorHAnsi" w:cstheme="minorBidi"/>
                <w:color w:val="auto"/>
                <w:sz w:val="22"/>
                <w:szCs w:val="22"/>
              </w:rPr>
              <w:t xml:space="preserve"> each, </w:t>
            </w:r>
          </w:p>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A and B</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Points awarded for remediation time in ATI or Templates</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Level of proficiency on proctored assessment</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Points awarded for proficiency level on proctored assessment</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Total Points Awarded</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level 3</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60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100</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level 2</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45</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85</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level 1</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35</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75</w:t>
            </w:r>
          </w:p>
        </w:tc>
      </w:tr>
      <w:tr w:rsidR="007C361F" w:rsidRPr="007C361F" w:rsidTr="0056028B">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20</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Proficiency below level 1</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25</w:t>
            </w:r>
          </w:p>
        </w:tc>
        <w:tc>
          <w:tcPr>
            <w:tcW w:w="1870" w:type="dxa"/>
          </w:tcPr>
          <w:p w:rsidR="007C361F" w:rsidRPr="007C361F" w:rsidRDefault="007C361F" w:rsidP="007C361F">
            <w:pPr>
              <w:rPr>
                <w:rFonts w:asciiTheme="minorHAnsi" w:eastAsiaTheme="minorHAnsi" w:hAnsiTheme="minorHAnsi" w:cstheme="minorBidi"/>
                <w:color w:val="auto"/>
                <w:sz w:val="22"/>
                <w:szCs w:val="22"/>
              </w:rPr>
            </w:pPr>
            <w:r w:rsidRPr="007C361F">
              <w:rPr>
                <w:rFonts w:asciiTheme="minorHAnsi" w:eastAsiaTheme="minorHAnsi" w:hAnsiTheme="minorHAnsi" w:cstheme="minorBidi"/>
                <w:color w:val="auto"/>
                <w:sz w:val="22"/>
                <w:szCs w:val="22"/>
              </w:rPr>
              <w:t>65</w:t>
            </w:r>
          </w:p>
        </w:tc>
      </w:tr>
    </w:tbl>
    <w:p w:rsidR="007C361F" w:rsidRPr="007C361F" w:rsidRDefault="007C361F" w:rsidP="007C361F">
      <w:pPr>
        <w:spacing w:after="160" w:line="259" w:lineRule="auto"/>
        <w:rPr>
          <w:rFonts w:asciiTheme="minorHAnsi" w:eastAsiaTheme="minorHAnsi" w:hAnsiTheme="minorHAnsi" w:cstheme="minorBidi"/>
          <w:color w:val="auto"/>
          <w:sz w:val="22"/>
          <w:szCs w:val="22"/>
        </w:rPr>
      </w:pPr>
    </w:p>
    <w:p w:rsidR="00575AE6" w:rsidRDefault="00575AE6" w:rsidP="00F46F1C">
      <w:pPr>
        <w:spacing w:after="160" w:line="259" w:lineRule="auto"/>
        <w:jc w:val="both"/>
        <w:rPr>
          <w:rFonts w:ascii="Arial" w:eastAsia="Calibri" w:hAnsi="Arial" w:cs="Arial"/>
          <w:b/>
          <w:color w:val="auto"/>
          <w:sz w:val="32"/>
          <w:szCs w:val="22"/>
        </w:rPr>
      </w:pPr>
      <w:r>
        <w:rPr>
          <w:rFonts w:ascii="Arial" w:eastAsia="Calibri" w:hAnsi="Arial" w:cs="Arial"/>
          <w:b/>
          <w:color w:val="auto"/>
          <w:sz w:val="32"/>
          <w:szCs w:val="22"/>
        </w:rPr>
        <w:br w:type="page"/>
      </w:r>
    </w:p>
    <w:p w:rsidR="00575AE6" w:rsidRDefault="00575AE6">
      <w:pPr>
        <w:spacing w:after="160" w:line="259" w:lineRule="auto"/>
        <w:rPr>
          <w:rFonts w:ascii="Arial" w:eastAsia="Calibri" w:hAnsi="Arial" w:cs="Arial"/>
          <w:b/>
          <w:color w:val="auto"/>
          <w:sz w:val="32"/>
          <w:szCs w:val="22"/>
        </w:rPr>
      </w:pPr>
    </w:p>
    <w:p w:rsidR="00BF72D3" w:rsidRPr="00BF72D3" w:rsidRDefault="00BF72D3" w:rsidP="00BF72D3">
      <w:pPr>
        <w:spacing w:after="160" w:line="259" w:lineRule="auto"/>
        <w:jc w:val="center"/>
        <w:rPr>
          <w:rFonts w:ascii="Arial" w:eastAsia="Calibri" w:hAnsi="Arial" w:cs="Arial"/>
          <w:b/>
          <w:color w:val="auto"/>
          <w:sz w:val="32"/>
          <w:szCs w:val="22"/>
        </w:rPr>
      </w:pPr>
    </w:p>
    <w:p w:rsidR="00BF72D3" w:rsidRPr="00BF72D3" w:rsidRDefault="00BF72D3" w:rsidP="00BF72D3">
      <w:pPr>
        <w:spacing w:after="160" w:line="259" w:lineRule="auto"/>
        <w:jc w:val="center"/>
        <w:rPr>
          <w:rFonts w:ascii="Arial" w:eastAsia="Calibri" w:hAnsi="Arial" w:cs="Arial"/>
          <w:b/>
          <w:color w:val="auto"/>
          <w:sz w:val="32"/>
          <w:szCs w:val="22"/>
        </w:rPr>
      </w:pPr>
      <w:r w:rsidRPr="00BF72D3">
        <w:rPr>
          <w:rFonts w:ascii="Arial" w:eastAsia="Calibri" w:hAnsi="Arial" w:cs="Arial"/>
          <w:b/>
          <w:noProof/>
          <w:color w:val="auto"/>
          <w:sz w:val="32"/>
          <w:szCs w:val="22"/>
        </w:rPr>
        <w:drawing>
          <wp:anchor distT="0" distB="0" distL="114300" distR="114300" simplePos="0" relativeHeight="251661312" behindDoc="1" locked="0" layoutInCell="1" allowOverlap="1" wp14:anchorId="38C84826" wp14:editId="76849F43">
            <wp:simplePos x="0" y="0"/>
            <wp:positionH relativeFrom="column">
              <wp:posOffset>5318760</wp:posOffset>
            </wp:positionH>
            <wp:positionV relativeFrom="page">
              <wp:posOffset>251460</wp:posOffset>
            </wp:positionV>
            <wp:extent cx="975360" cy="975360"/>
            <wp:effectExtent l="0" t="0" r="0" b="0"/>
            <wp:wrapTight wrapText="bothSides">
              <wp:wrapPolygon edited="0">
                <wp:start x="0" y="0"/>
                <wp:lineTo x="0" y="21094"/>
                <wp:lineTo x="21094" y="21094"/>
                <wp:lineTo x="210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i logo on whi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5360" cy="975360"/>
                    </a:xfrm>
                    <a:prstGeom prst="rect">
                      <a:avLst/>
                    </a:prstGeom>
                  </pic:spPr>
                </pic:pic>
              </a:graphicData>
            </a:graphic>
            <wp14:sizeRelH relativeFrom="margin">
              <wp14:pctWidth>0</wp14:pctWidth>
            </wp14:sizeRelH>
            <wp14:sizeRelV relativeFrom="margin">
              <wp14:pctHeight>0</wp14:pctHeight>
            </wp14:sizeRelV>
          </wp:anchor>
        </w:drawing>
      </w:r>
      <w:r w:rsidRPr="00BF72D3">
        <w:rPr>
          <w:rFonts w:ascii="Arial" w:eastAsia="Calibri" w:hAnsi="Arial" w:cs="Arial"/>
          <w:b/>
          <w:color w:val="auto"/>
          <w:sz w:val="32"/>
          <w:szCs w:val="22"/>
        </w:rPr>
        <w:t>Questions on Your Use of ATI’s CBC Assessments</w:t>
      </w:r>
    </w:p>
    <w:p w:rsidR="00BF72D3" w:rsidRPr="00BF72D3" w:rsidRDefault="00BF72D3" w:rsidP="00BF72D3">
      <w:pPr>
        <w:spacing w:after="160" w:line="259" w:lineRule="auto"/>
        <w:jc w:val="center"/>
        <w:rPr>
          <w:rFonts w:ascii="Arial" w:eastAsia="Calibri" w:hAnsi="Arial" w:cs="Arial"/>
          <w:i/>
          <w:color w:val="auto"/>
          <w:sz w:val="22"/>
          <w:szCs w:val="22"/>
        </w:rPr>
      </w:pPr>
      <w:r w:rsidRPr="00BF72D3">
        <w:rPr>
          <w:rFonts w:ascii="Arial" w:eastAsia="Calibri" w:hAnsi="Arial" w:cs="Arial"/>
          <w:i/>
          <w:color w:val="auto"/>
          <w:sz w:val="22"/>
          <w:szCs w:val="22"/>
        </w:rPr>
        <w:t>Please return your answers to Gina Kellogg at gina.kellogg@atitesting.com.</w:t>
      </w:r>
    </w:p>
    <w:p w:rsidR="00BF72D3" w:rsidRPr="00BF72D3" w:rsidRDefault="00BF72D3" w:rsidP="00BF72D3">
      <w:pPr>
        <w:spacing w:after="160" w:line="259" w:lineRule="auto"/>
        <w:rPr>
          <w:rFonts w:ascii="Arial" w:eastAsia="Calibri" w:hAnsi="Arial" w:cs="Arial"/>
          <w:b/>
          <w:color w:val="auto"/>
          <w:sz w:val="20"/>
          <w:szCs w:val="20"/>
        </w:rPr>
      </w:pPr>
      <w:r w:rsidRPr="00BF72D3">
        <w:rPr>
          <w:rFonts w:ascii="Arial" w:eastAsia="Calibri" w:hAnsi="Arial" w:cs="Arial"/>
          <w:b/>
          <w:color w:val="auto"/>
          <w:sz w:val="22"/>
          <w:szCs w:val="22"/>
        </w:rPr>
        <w:br/>
      </w:r>
      <w:proofErr w:type="gramStart"/>
      <w:r w:rsidRPr="00BF72D3">
        <w:rPr>
          <w:rFonts w:ascii="Arial" w:eastAsia="Calibri" w:hAnsi="Arial" w:cs="Arial"/>
          <w:b/>
          <w:color w:val="auto"/>
          <w:sz w:val="20"/>
          <w:szCs w:val="20"/>
        </w:rPr>
        <w:t>Your</w:t>
      </w:r>
      <w:proofErr w:type="gramEnd"/>
      <w:r w:rsidRPr="00BF72D3">
        <w:rPr>
          <w:rFonts w:ascii="Arial" w:eastAsia="Calibri" w:hAnsi="Arial" w:cs="Arial"/>
          <w:b/>
          <w:color w:val="auto"/>
          <w:sz w:val="20"/>
          <w:szCs w:val="20"/>
        </w:rPr>
        <w:t xml:space="preserve"> Name:</w:t>
      </w:r>
    </w:p>
    <w:p w:rsidR="00BF72D3" w:rsidRPr="00BF72D3" w:rsidRDefault="00BF72D3" w:rsidP="00BF72D3">
      <w:pPr>
        <w:spacing w:after="160" w:line="259" w:lineRule="auto"/>
        <w:rPr>
          <w:rFonts w:ascii="Arial" w:eastAsia="Calibri" w:hAnsi="Arial" w:cs="Arial"/>
          <w:b/>
          <w:color w:val="auto"/>
          <w:sz w:val="20"/>
          <w:szCs w:val="20"/>
        </w:rPr>
      </w:pPr>
      <w:proofErr w:type="gramStart"/>
      <w:r w:rsidRPr="00BF72D3">
        <w:rPr>
          <w:rFonts w:ascii="Arial" w:eastAsia="Calibri" w:hAnsi="Arial" w:cs="Arial"/>
          <w:b/>
          <w:color w:val="auto"/>
          <w:sz w:val="20"/>
          <w:szCs w:val="20"/>
        </w:rPr>
        <w:t>Your</w:t>
      </w:r>
      <w:proofErr w:type="gramEnd"/>
      <w:r w:rsidRPr="00BF72D3">
        <w:rPr>
          <w:rFonts w:ascii="Arial" w:eastAsia="Calibri" w:hAnsi="Arial" w:cs="Arial"/>
          <w:b/>
          <w:color w:val="auto"/>
          <w:sz w:val="20"/>
          <w:szCs w:val="20"/>
        </w:rPr>
        <w:t xml:space="preserve"> Title:</w:t>
      </w:r>
    </w:p>
    <w:p w:rsidR="00BF72D3" w:rsidRPr="00BF72D3" w:rsidRDefault="00BF72D3" w:rsidP="00BF72D3">
      <w:pPr>
        <w:spacing w:after="160" w:line="259" w:lineRule="auto"/>
        <w:rPr>
          <w:rFonts w:ascii="Arial" w:eastAsia="Calibri" w:hAnsi="Arial" w:cs="Arial"/>
          <w:color w:val="auto"/>
          <w:sz w:val="20"/>
          <w:szCs w:val="20"/>
        </w:rPr>
      </w:pPr>
      <w:proofErr w:type="gramStart"/>
      <w:r w:rsidRPr="00BF72D3">
        <w:rPr>
          <w:rFonts w:ascii="Arial" w:eastAsia="Calibri" w:hAnsi="Arial" w:cs="Arial"/>
          <w:b/>
          <w:color w:val="auto"/>
          <w:sz w:val="20"/>
          <w:szCs w:val="20"/>
        </w:rPr>
        <w:t>Your</w:t>
      </w:r>
      <w:proofErr w:type="gramEnd"/>
      <w:r w:rsidRPr="00BF72D3">
        <w:rPr>
          <w:rFonts w:ascii="Arial" w:eastAsia="Calibri" w:hAnsi="Arial" w:cs="Arial"/>
          <w:b/>
          <w:color w:val="auto"/>
          <w:sz w:val="20"/>
          <w:szCs w:val="20"/>
        </w:rPr>
        <w:t xml:space="preserve"> School/Program:</w:t>
      </w:r>
    </w:p>
    <w:p w:rsidR="00BF72D3" w:rsidRPr="00BF72D3" w:rsidRDefault="00BF72D3" w:rsidP="00BF72D3">
      <w:pPr>
        <w:spacing w:after="160" w:line="259" w:lineRule="auto"/>
        <w:rPr>
          <w:rFonts w:ascii="Arial" w:eastAsia="Calibri" w:hAnsi="Arial" w:cs="Arial"/>
          <w:color w:val="auto"/>
          <w:sz w:val="22"/>
          <w:szCs w:val="22"/>
        </w:rPr>
      </w:pP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How long has your program been using ATI products?</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How long have you been using a concept-based curriculum (CBC)?</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Did ATI’s Consulting Team assist you in transitioning to a CBC? If so, can you describe that process?</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What unique challenges have you faced since the transition to CBC? (Has measurement of student proficiency been among these challenges?)</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During the time you’ve been using ATI’s CBC Assessments, how has your program changed/ improved?</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How did ATI’s staff support your use of CBC Assessments into your program?</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How has ATI’s active-learning tools (such as Video Case Studies, Nurse’s Touch, Real Life, etc.) enhanced your CBC?</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What was the process of aligning/integrating ATI’s CBC Assessments with your custom CBC? How difficult/easy was the process?</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How well did ATI’s concepts and exemplars/topics in each level align with the concepts and exemplars you already had in place? Can you describe?</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How have ATI’s CBC Assessments helped in evaluating your students?</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 xml:space="preserve">How important is a standardized assessment in gauging how your students track against national norms? </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How will it impact your program to have nationally normed assessments in the future?</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How did ATI’s Integration Team help to incorporate and align ATI’s suite of CBC solutions with your curriculum?</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What have students’ responses been to the ATI Assessments?</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What is missing from ATI’s suite of solutions that could enhance your CBC program?</w:t>
      </w:r>
      <w:r w:rsidRPr="00BF72D3">
        <w:rPr>
          <w:rFonts w:ascii="Arial" w:eastAsia="Calibri" w:hAnsi="Arial" w:cs="Arial"/>
          <w:color w:val="auto"/>
          <w:sz w:val="20"/>
          <w:szCs w:val="20"/>
        </w:rPr>
        <w:br/>
      </w:r>
    </w:p>
    <w:p w:rsidR="00BF72D3" w:rsidRPr="00BF72D3" w:rsidRDefault="00BF72D3" w:rsidP="00BF72D3">
      <w:pPr>
        <w:numPr>
          <w:ilvl w:val="0"/>
          <w:numId w:val="34"/>
        </w:numPr>
        <w:spacing w:after="160" w:line="259" w:lineRule="auto"/>
        <w:contextualSpacing/>
        <w:rPr>
          <w:rFonts w:ascii="Arial" w:eastAsia="Calibri" w:hAnsi="Arial" w:cs="Arial"/>
          <w:color w:val="auto"/>
          <w:sz w:val="20"/>
          <w:szCs w:val="20"/>
        </w:rPr>
      </w:pPr>
      <w:r w:rsidRPr="00BF72D3">
        <w:rPr>
          <w:rFonts w:ascii="Arial" w:eastAsia="Calibri" w:hAnsi="Arial" w:cs="Arial"/>
          <w:color w:val="auto"/>
          <w:sz w:val="20"/>
          <w:szCs w:val="20"/>
        </w:rPr>
        <w:t>What ATI programs have most enhanced your CBC program’s success?</w:t>
      </w:r>
    </w:p>
    <w:p w:rsidR="00BF72D3" w:rsidRPr="00D95D1D" w:rsidRDefault="00BF72D3" w:rsidP="00D95D1D"/>
    <w:p w:rsidR="0007308D" w:rsidRPr="0007308D" w:rsidRDefault="0007308D" w:rsidP="0007308D">
      <w:pPr>
        <w:spacing w:after="160" w:line="259" w:lineRule="auto"/>
      </w:pPr>
      <w:r>
        <w:br w:type="page"/>
      </w:r>
    </w:p>
    <w:p w:rsidR="0007308D" w:rsidRPr="0007308D" w:rsidRDefault="0007308D" w:rsidP="0007308D">
      <w:pPr>
        <w:shd w:val="clear" w:color="auto" w:fill="FFFFFF"/>
        <w:jc w:val="center"/>
        <w:rPr>
          <w:rFonts w:ascii="Calibri" w:hAnsi="Calibri" w:cs="Calibri"/>
          <w:color w:val="000000" w:themeColor="text1"/>
          <w:sz w:val="32"/>
          <w:szCs w:val="32"/>
        </w:rPr>
      </w:pPr>
      <w:r w:rsidRPr="0007308D">
        <w:rPr>
          <w:rFonts w:ascii="Calibri" w:hAnsi="Calibri" w:cs="Calibri"/>
          <w:color w:val="000000" w:themeColor="text1"/>
          <w:sz w:val="32"/>
          <w:szCs w:val="32"/>
        </w:rPr>
        <w:lastRenderedPageBreak/>
        <w:t>OFFICE HOURS</w:t>
      </w:r>
    </w:p>
    <w:p w:rsidR="0007308D" w:rsidRPr="0007308D" w:rsidRDefault="0007308D" w:rsidP="0007308D">
      <w:pPr>
        <w:shd w:val="clear" w:color="auto" w:fill="FFFFFF"/>
        <w:rPr>
          <w:rFonts w:ascii="Calibri" w:hAnsi="Calibri" w:cs="Calibri"/>
          <w:color w:val="212121"/>
          <w:sz w:val="22"/>
          <w:szCs w:val="22"/>
        </w:rPr>
      </w:pPr>
      <w:r w:rsidRPr="0007308D">
        <w:rPr>
          <w:rFonts w:ascii="Calibri" w:hAnsi="Calibri" w:cs="Calibri"/>
          <w:color w:val="1F497D"/>
          <w:sz w:val="22"/>
          <w:szCs w:val="22"/>
        </w:rPr>
        <w:t> </w:t>
      </w:r>
      <w:r w:rsidRPr="0007308D">
        <w:rPr>
          <w:rFonts w:ascii="Calibri" w:hAnsi="Calibri" w:cs="Calibri"/>
          <w:color w:val="212121"/>
          <w:sz w:val="22"/>
          <w:szCs w:val="22"/>
        </w:rPr>
        <w:t> </w:t>
      </w:r>
    </w:p>
    <w:p w:rsidR="0007308D" w:rsidRPr="0007308D" w:rsidRDefault="0007308D" w:rsidP="0007308D">
      <w:pPr>
        <w:shd w:val="clear" w:color="auto" w:fill="FFFFFF"/>
        <w:rPr>
          <w:rFonts w:ascii="Calibri" w:hAnsi="Calibri" w:cs="Calibri"/>
          <w:color w:val="212121"/>
          <w:sz w:val="22"/>
          <w:szCs w:val="22"/>
        </w:rPr>
      </w:pPr>
      <w:r w:rsidRPr="0007308D">
        <w:rPr>
          <w:rFonts w:ascii="Calibri" w:hAnsi="Calibri" w:cs="Calibri"/>
          <w:b/>
          <w:bCs/>
          <w:color w:val="212121"/>
          <w:sz w:val="22"/>
          <w:szCs w:val="22"/>
        </w:rPr>
        <w:t>8.1.2 Office Hours</w:t>
      </w:r>
    </w:p>
    <w:p w:rsidR="0007308D" w:rsidRPr="0007308D" w:rsidRDefault="0007308D" w:rsidP="0007308D">
      <w:pPr>
        <w:shd w:val="clear" w:color="auto" w:fill="FFFFFF"/>
        <w:rPr>
          <w:rFonts w:ascii="Calibri" w:hAnsi="Calibri" w:cs="Calibri"/>
          <w:color w:val="212121"/>
          <w:sz w:val="22"/>
          <w:szCs w:val="22"/>
        </w:rPr>
      </w:pPr>
      <w:r w:rsidRPr="0007308D">
        <w:rPr>
          <w:rFonts w:ascii="Calibri" w:hAnsi="Calibri" w:cs="Calibri"/>
          <w:color w:val="212121"/>
          <w:sz w:val="22"/>
          <w:szCs w:val="22"/>
        </w:rPr>
        <w:t xml:space="preserve">A. Full-time faculty are required to schedule a minimum of ten (10) hours per week of office hours, during </w:t>
      </w:r>
      <w:proofErr w:type="gramStart"/>
      <w:r w:rsidRPr="0007308D">
        <w:rPr>
          <w:rFonts w:ascii="Calibri" w:hAnsi="Calibri" w:cs="Calibri"/>
          <w:color w:val="212121"/>
          <w:sz w:val="22"/>
          <w:szCs w:val="22"/>
        </w:rPr>
        <w:t>Fall</w:t>
      </w:r>
      <w:proofErr w:type="gramEnd"/>
      <w:r w:rsidRPr="0007308D">
        <w:rPr>
          <w:rFonts w:ascii="Calibri" w:hAnsi="Calibri" w:cs="Calibri"/>
          <w:color w:val="212121"/>
          <w:sz w:val="22"/>
          <w:szCs w:val="22"/>
        </w:rPr>
        <w:t xml:space="preserve"> and Spring semesters. Office hours will be posted on or adjacent to faculty office doors by means of a “Class and Office Hours Schedule.” Additional office hours beyond the required ten (10) hours may be scheduled and students may also be seen by appointment.</w:t>
      </w:r>
    </w:p>
    <w:p w:rsidR="0007308D" w:rsidRPr="0007308D" w:rsidRDefault="0007308D" w:rsidP="0007308D">
      <w:pPr>
        <w:shd w:val="clear" w:color="auto" w:fill="FFFFFF"/>
        <w:rPr>
          <w:rFonts w:ascii="Calibri" w:hAnsi="Calibri" w:cs="Calibri"/>
          <w:color w:val="212121"/>
          <w:sz w:val="22"/>
          <w:szCs w:val="22"/>
        </w:rPr>
      </w:pPr>
    </w:p>
    <w:p w:rsidR="0007308D" w:rsidRPr="0007308D" w:rsidRDefault="0007308D" w:rsidP="0007308D">
      <w:pPr>
        <w:shd w:val="clear" w:color="auto" w:fill="FFFFFF"/>
        <w:rPr>
          <w:rFonts w:ascii="Calibri" w:hAnsi="Calibri" w:cs="Calibri"/>
          <w:color w:val="212121"/>
          <w:sz w:val="22"/>
          <w:szCs w:val="22"/>
        </w:rPr>
      </w:pPr>
      <w:r w:rsidRPr="0007308D">
        <w:rPr>
          <w:rFonts w:ascii="Calibri" w:hAnsi="Calibri" w:cs="Calibri"/>
          <w:color w:val="212121"/>
          <w:sz w:val="22"/>
          <w:szCs w:val="22"/>
        </w:rPr>
        <w:t xml:space="preserve">B. In order to accommodate </w:t>
      </w:r>
      <w:r w:rsidRPr="0007308D">
        <w:rPr>
          <w:rFonts w:ascii="Calibri" w:hAnsi="Calibri" w:cs="Calibri"/>
          <w:color w:val="212121"/>
          <w:sz w:val="22"/>
          <w:szCs w:val="22"/>
          <w:highlight w:val="yellow"/>
        </w:rPr>
        <w:t>online</w:t>
      </w:r>
      <w:r w:rsidRPr="0007308D">
        <w:rPr>
          <w:rFonts w:ascii="Calibri" w:hAnsi="Calibri" w:cs="Calibri"/>
          <w:color w:val="212121"/>
          <w:sz w:val="22"/>
          <w:szCs w:val="22"/>
        </w:rPr>
        <w:t xml:space="preserve"> student needs, a faculty member may keep office hours in proportion to his/her teaching load. That is, teaching 15 online hours as base load equals up to 5 online office hours, 12 online hours as base load equals up to 4 online office hours, 6 or less teaching hours as base load equals up to 3 online office hours.</w:t>
      </w:r>
    </w:p>
    <w:p w:rsidR="0007308D" w:rsidRPr="0007308D" w:rsidRDefault="0007308D" w:rsidP="0007308D">
      <w:pPr>
        <w:shd w:val="clear" w:color="auto" w:fill="FFFFFF"/>
        <w:rPr>
          <w:rFonts w:ascii="Calibri" w:hAnsi="Calibri" w:cs="Calibri"/>
          <w:color w:val="212121"/>
          <w:sz w:val="22"/>
          <w:szCs w:val="22"/>
        </w:rPr>
      </w:pPr>
      <w:r w:rsidRPr="0007308D">
        <w:rPr>
          <w:rFonts w:ascii="Calibri" w:hAnsi="Calibri" w:cs="Calibri"/>
          <w:color w:val="212121"/>
          <w:sz w:val="22"/>
          <w:szCs w:val="22"/>
        </w:rPr>
        <w:t> </w:t>
      </w:r>
    </w:p>
    <w:p w:rsidR="0007308D" w:rsidRPr="0007308D" w:rsidRDefault="0007308D" w:rsidP="0007308D">
      <w:pPr>
        <w:shd w:val="clear" w:color="auto" w:fill="FFFFFF"/>
        <w:rPr>
          <w:rFonts w:ascii="Calibri" w:hAnsi="Calibri" w:cs="Calibri"/>
          <w:color w:val="212121"/>
          <w:sz w:val="22"/>
          <w:szCs w:val="22"/>
        </w:rPr>
      </w:pPr>
      <w:r w:rsidRPr="0007308D">
        <w:rPr>
          <w:rFonts w:ascii="Calibri" w:hAnsi="Calibri" w:cs="Calibri"/>
          <w:b/>
          <w:bCs/>
          <w:color w:val="212121"/>
          <w:sz w:val="22"/>
          <w:szCs w:val="22"/>
        </w:rPr>
        <w:t>In the College Operating Procedure 03-1105 Faculty Office Hours</w:t>
      </w:r>
    </w:p>
    <w:p w:rsidR="0007308D" w:rsidRPr="0007308D" w:rsidRDefault="0007308D" w:rsidP="0007308D">
      <w:pPr>
        <w:shd w:val="clear" w:color="auto" w:fill="FFFFFF"/>
        <w:rPr>
          <w:rFonts w:ascii="Calibri" w:hAnsi="Calibri" w:cs="Calibri"/>
          <w:color w:val="212121"/>
          <w:sz w:val="22"/>
          <w:szCs w:val="22"/>
        </w:rPr>
      </w:pPr>
      <w:r w:rsidRPr="0007308D">
        <w:rPr>
          <w:rFonts w:ascii="Calibri" w:hAnsi="Calibri" w:cs="Calibri"/>
          <w:color w:val="212121"/>
          <w:sz w:val="22"/>
          <w:szCs w:val="22"/>
        </w:rPr>
        <w:t> </w:t>
      </w:r>
    </w:p>
    <w:p w:rsidR="0007308D" w:rsidRPr="0007308D" w:rsidRDefault="0007308D" w:rsidP="0007308D">
      <w:pPr>
        <w:shd w:val="clear" w:color="auto" w:fill="FFFFFF"/>
        <w:rPr>
          <w:rFonts w:ascii="Calibri" w:hAnsi="Calibri" w:cs="Calibri"/>
          <w:color w:val="212121"/>
          <w:sz w:val="22"/>
          <w:szCs w:val="22"/>
        </w:rPr>
      </w:pPr>
      <w:r w:rsidRPr="0007308D">
        <w:rPr>
          <w:rFonts w:ascii="Calibri" w:hAnsi="Calibri" w:cs="Calibri"/>
          <w:color w:val="212121"/>
          <w:sz w:val="22"/>
          <w:szCs w:val="22"/>
        </w:rPr>
        <w:t>The above is repeated and item C is stated:</w:t>
      </w:r>
    </w:p>
    <w:p w:rsidR="0007308D" w:rsidRPr="0007308D" w:rsidRDefault="0007308D" w:rsidP="0007308D">
      <w:pPr>
        <w:shd w:val="clear" w:color="auto" w:fill="FFFFFF"/>
        <w:rPr>
          <w:rFonts w:ascii="Calibri" w:hAnsi="Calibri" w:cs="Calibri"/>
          <w:color w:val="212121"/>
          <w:sz w:val="22"/>
          <w:szCs w:val="22"/>
        </w:rPr>
      </w:pPr>
      <w:r w:rsidRPr="0007308D">
        <w:rPr>
          <w:rFonts w:ascii="Calibri" w:hAnsi="Calibri" w:cs="Calibri"/>
          <w:color w:val="212121"/>
          <w:sz w:val="22"/>
          <w:szCs w:val="22"/>
        </w:rPr>
        <w:t> </w:t>
      </w:r>
    </w:p>
    <w:p w:rsidR="0007308D" w:rsidRPr="0007308D" w:rsidRDefault="0007308D" w:rsidP="0007308D">
      <w:pPr>
        <w:shd w:val="clear" w:color="auto" w:fill="FFFFFF"/>
        <w:rPr>
          <w:rFonts w:ascii="Calibri" w:hAnsi="Calibri" w:cs="Calibri"/>
          <w:color w:val="212121"/>
          <w:sz w:val="22"/>
          <w:szCs w:val="22"/>
        </w:rPr>
      </w:pPr>
      <w:r w:rsidRPr="0007308D">
        <w:rPr>
          <w:rFonts w:ascii="Calibri" w:hAnsi="Calibri" w:cs="Calibri"/>
          <w:color w:val="212121"/>
          <w:sz w:val="22"/>
          <w:szCs w:val="22"/>
        </w:rPr>
        <w:t>C. The configuration of these office hours is subject to the approval of the professor’s supervisor but should be distributed equally over the five work days each week. An office hour ideally is a minimum of one hour in length. When scheduling office hours, stated time should be no sooner than ten minutes before or after a class on the same day.</w:t>
      </w:r>
    </w:p>
    <w:p w:rsidR="0007308D" w:rsidRPr="0007308D" w:rsidRDefault="0007308D" w:rsidP="0007308D">
      <w:pPr>
        <w:shd w:val="clear" w:color="auto" w:fill="FFFFFF"/>
        <w:spacing w:after="100"/>
        <w:rPr>
          <w:rFonts w:ascii="Calibri" w:hAnsi="Calibri" w:cs="Calibri"/>
          <w:color w:val="212121"/>
          <w:sz w:val="22"/>
          <w:szCs w:val="22"/>
        </w:rPr>
      </w:pPr>
      <w:r w:rsidRPr="0007308D">
        <w:rPr>
          <w:rFonts w:ascii="Calibri" w:hAnsi="Calibri" w:cs="Calibri"/>
          <w:color w:val="212121"/>
          <w:sz w:val="22"/>
          <w:szCs w:val="22"/>
        </w:rPr>
        <w:t> </w:t>
      </w:r>
    </w:p>
    <w:p w:rsidR="0007308D" w:rsidRPr="0007308D" w:rsidRDefault="0007308D" w:rsidP="0007308D">
      <w:pPr>
        <w:shd w:val="clear" w:color="auto" w:fill="FFFFFF"/>
        <w:rPr>
          <w:rFonts w:ascii="Calibri" w:hAnsi="Calibri" w:cs="Calibri"/>
          <w:b/>
          <w:color w:val="000000" w:themeColor="text1"/>
          <w:sz w:val="22"/>
          <w:szCs w:val="22"/>
        </w:rPr>
      </w:pPr>
      <w:r w:rsidRPr="0007308D">
        <w:rPr>
          <w:rFonts w:ascii="Calibri" w:hAnsi="Calibri" w:cs="Calibri"/>
          <w:b/>
          <w:color w:val="000000" w:themeColor="text1"/>
          <w:sz w:val="22"/>
          <w:szCs w:val="22"/>
        </w:rPr>
        <w:t>FSW Administration Response to Office Hours:</w:t>
      </w:r>
    </w:p>
    <w:p w:rsidR="0007308D" w:rsidRPr="0007308D" w:rsidRDefault="0007308D" w:rsidP="0007308D">
      <w:pPr>
        <w:shd w:val="clear" w:color="auto" w:fill="FFFFFF"/>
        <w:rPr>
          <w:rFonts w:ascii="Calibri" w:hAnsi="Calibri" w:cs="Calibri"/>
          <w:color w:val="000000" w:themeColor="text1"/>
          <w:sz w:val="22"/>
          <w:szCs w:val="22"/>
        </w:rPr>
      </w:pPr>
    </w:p>
    <w:p w:rsidR="0007308D" w:rsidRPr="0007308D" w:rsidRDefault="0007308D" w:rsidP="0007308D">
      <w:pPr>
        <w:shd w:val="clear" w:color="auto" w:fill="FFFFFF"/>
        <w:rPr>
          <w:rFonts w:ascii="Calibri" w:hAnsi="Calibri" w:cs="Calibri"/>
          <w:color w:val="000000" w:themeColor="text1"/>
          <w:sz w:val="22"/>
          <w:szCs w:val="22"/>
        </w:rPr>
      </w:pPr>
      <w:r w:rsidRPr="0007308D">
        <w:rPr>
          <w:rFonts w:ascii="Calibri" w:hAnsi="Calibri" w:cs="Calibri"/>
          <w:color w:val="000000" w:themeColor="text1"/>
          <w:sz w:val="22"/>
          <w:szCs w:val="22"/>
        </w:rPr>
        <w:t>Any management right that we don’t “give up” in the CNA remains a management right.  The COP provides that office hours spread over 5 days is ideal, but it is up to the supervisor to work with the faculty to come up with the reasonable plan.  Ultimately it is up to the supervisor to approve or not approve.</w:t>
      </w:r>
    </w:p>
    <w:p w:rsidR="0007308D" w:rsidRPr="0007308D" w:rsidRDefault="0007308D" w:rsidP="0007308D">
      <w:pPr>
        <w:shd w:val="clear" w:color="auto" w:fill="FFFFFF"/>
        <w:rPr>
          <w:rFonts w:ascii="Calibri" w:hAnsi="Calibri" w:cs="Calibri"/>
          <w:color w:val="000000" w:themeColor="text1"/>
          <w:sz w:val="22"/>
          <w:szCs w:val="22"/>
        </w:rPr>
      </w:pPr>
      <w:r w:rsidRPr="0007308D">
        <w:rPr>
          <w:rFonts w:ascii="Calibri" w:hAnsi="Calibri" w:cs="Calibri"/>
          <w:color w:val="000000" w:themeColor="text1"/>
          <w:sz w:val="22"/>
          <w:szCs w:val="22"/>
        </w:rPr>
        <w:t> </w:t>
      </w:r>
    </w:p>
    <w:p w:rsidR="0007308D" w:rsidRPr="0007308D" w:rsidRDefault="0007308D" w:rsidP="0007308D">
      <w:pPr>
        <w:shd w:val="clear" w:color="auto" w:fill="FFFFFF"/>
        <w:rPr>
          <w:rFonts w:ascii="Calibri" w:hAnsi="Calibri" w:cs="Calibri"/>
          <w:color w:val="000000" w:themeColor="text1"/>
          <w:sz w:val="22"/>
          <w:szCs w:val="22"/>
        </w:rPr>
      </w:pPr>
      <w:r w:rsidRPr="0007308D">
        <w:rPr>
          <w:rFonts w:ascii="Calibri" w:hAnsi="Calibri" w:cs="Calibri"/>
          <w:color w:val="000000" w:themeColor="text1"/>
          <w:sz w:val="22"/>
          <w:szCs w:val="22"/>
        </w:rPr>
        <w:t>Operationally, if the faculty has other campus engagement on Fridays (teaches a class, regularly scheduled meetings) then it is acceptable that their office hours are spread over 5 days.</w:t>
      </w:r>
    </w:p>
    <w:p w:rsidR="0007308D" w:rsidRPr="0007308D" w:rsidRDefault="0007308D" w:rsidP="0007308D">
      <w:pPr>
        <w:spacing w:after="160" w:line="259" w:lineRule="auto"/>
        <w:rPr>
          <w:rFonts w:asciiTheme="minorHAnsi" w:eastAsiaTheme="minorHAnsi" w:hAnsiTheme="minorHAnsi" w:cstheme="minorBidi"/>
          <w:color w:val="auto"/>
          <w:sz w:val="22"/>
          <w:szCs w:val="22"/>
        </w:rPr>
      </w:pPr>
    </w:p>
    <w:p w:rsidR="00D95D1D" w:rsidRPr="009F1FD6" w:rsidRDefault="00D95D1D" w:rsidP="00BF3BEE"/>
    <w:sectPr w:rsidR="00D95D1D" w:rsidRPr="009F1FD6" w:rsidSect="004C64DE">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598" w:rsidRDefault="00087598" w:rsidP="00EC7876">
      <w:r>
        <w:separator/>
      </w:r>
    </w:p>
  </w:endnote>
  <w:endnote w:type="continuationSeparator" w:id="0">
    <w:p w:rsidR="00087598" w:rsidRDefault="00087598" w:rsidP="00EC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598" w:rsidRDefault="00087598" w:rsidP="00EC7876">
      <w:r>
        <w:separator/>
      </w:r>
    </w:p>
  </w:footnote>
  <w:footnote w:type="continuationSeparator" w:id="0">
    <w:p w:rsidR="00087598" w:rsidRDefault="00087598" w:rsidP="00EC7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CF3" w:rsidRPr="004C64DE" w:rsidRDefault="00087598" w:rsidP="004C64DE">
    <w:pPr>
      <w:jc w:val="center"/>
      <w:rPr>
        <w:rFonts w:ascii="Tahoma" w:hAnsi="Tahoma" w:cs="Tahoma"/>
      </w:rPr>
    </w:pPr>
    <w:sdt>
      <w:sdtPr>
        <w:rPr>
          <w:rFonts w:ascii="Tahoma" w:hAnsi="Tahoma" w:cs="Tahoma"/>
        </w:rPr>
        <w:id w:val="1568454865"/>
        <w:docPartObj>
          <w:docPartGallery w:val="Watermarks"/>
          <w:docPartUnique/>
        </w:docPartObj>
      </w:sdtPr>
      <w:sdtEndPr/>
      <w:sdtContent>
        <w:r>
          <w:rPr>
            <w:rFonts w:ascii="Tahoma" w:hAnsi="Tahoma" w:cs="Tahom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rsidR="00423CF3" w:rsidRDefault="00423CF3" w:rsidP="004C64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A2561"/>
    <w:multiLevelType w:val="hybridMultilevel"/>
    <w:tmpl w:val="8A904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F2663"/>
    <w:multiLevelType w:val="hybridMultilevel"/>
    <w:tmpl w:val="8AAED8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C24EF"/>
    <w:multiLevelType w:val="hybridMultilevel"/>
    <w:tmpl w:val="CF3021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30AD1"/>
    <w:multiLevelType w:val="hybridMultilevel"/>
    <w:tmpl w:val="C988DE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8005B1"/>
    <w:multiLevelType w:val="hybridMultilevel"/>
    <w:tmpl w:val="8AAED8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907F0"/>
    <w:multiLevelType w:val="hybridMultilevel"/>
    <w:tmpl w:val="6F6E39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6932A7"/>
    <w:multiLevelType w:val="hybridMultilevel"/>
    <w:tmpl w:val="6AF231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765D7A"/>
    <w:multiLevelType w:val="hybridMultilevel"/>
    <w:tmpl w:val="B66A8984"/>
    <w:lvl w:ilvl="0" w:tplc="3DC61F0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D674DE"/>
    <w:multiLevelType w:val="hybridMultilevel"/>
    <w:tmpl w:val="778A5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3C1FF2"/>
    <w:multiLevelType w:val="hybridMultilevel"/>
    <w:tmpl w:val="925A09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56524B"/>
    <w:multiLevelType w:val="hybridMultilevel"/>
    <w:tmpl w:val="DD407C60"/>
    <w:lvl w:ilvl="0" w:tplc="A07655B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D302A7"/>
    <w:multiLevelType w:val="hybridMultilevel"/>
    <w:tmpl w:val="D2BE8114"/>
    <w:lvl w:ilvl="0" w:tplc="8E96ACCA">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852B7F"/>
    <w:multiLevelType w:val="hybridMultilevel"/>
    <w:tmpl w:val="6B26107A"/>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CA3490"/>
    <w:multiLevelType w:val="hybridMultilevel"/>
    <w:tmpl w:val="31C23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CF5F04"/>
    <w:multiLevelType w:val="hybridMultilevel"/>
    <w:tmpl w:val="A170C3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353266"/>
    <w:multiLevelType w:val="hybridMultilevel"/>
    <w:tmpl w:val="2BF0E37E"/>
    <w:lvl w:ilvl="0" w:tplc="D2C42AD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F1509D"/>
    <w:multiLevelType w:val="hybridMultilevel"/>
    <w:tmpl w:val="C15C72EC"/>
    <w:lvl w:ilvl="0" w:tplc="F88CA826">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6F0904"/>
    <w:multiLevelType w:val="hybridMultilevel"/>
    <w:tmpl w:val="1186BBA2"/>
    <w:lvl w:ilvl="0" w:tplc="5B5C3E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A34618"/>
    <w:multiLevelType w:val="hybridMultilevel"/>
    <w:tmpl w:val="8B744E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CA41E1"/>
    <w:multiLevelType w:val="hybridMultilevel"/>
    <w:tmpl w:val="2E12F146"/>
    <w:lvl w:ilvl="0" w:tplc="5F28E07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C42FF8"/>
    <w:multiLevelType w:val="hybridMultilevel"/>
    <w:tmpl w:val="01B61C94"/>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A76732F"/>
    <w:multiLevelType w:val="hybridMultilevel"/>
    <w:tmpl w:val="7230F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06490B"/>
    <w:multiLevelType w:val="hybridMultilevel"/>
    <w:tmpl w:val="641CED42"/>
    <w:lvl w:ilvl="0" w:tplc="419EAB48">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DDA2661"/>
    <w:multiLevelType w:val="hybridMultilevel"/>
    <w:tmpl w:val="11E0F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D5329F"/>
    <w:multiLevelType w:val="hybridMultilevel"/>
    <w:tmpl w:val="8AAED8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25123B"/>
    <w:multiLevelType w:val="hybridMultilevel"/>
    <w:tmpl w:val="46D03194"/>
    <w:lvl w:ilvl="0" w:tplc="AF0865D6">
      <w:start w:val="1"/>
      <w:numFmt w:val="upperLetter"/>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580E5B"/>
    <w:multiLevelType w:val="hybridMultilevel"/>
    <w:tmpl w:val="D378463C"/>
    <w:lvl w:ilvl="0" w:tplc="A6E2B1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854A8C"/>
    <w:multiLevelType w:val="hybridMultilevel"/>
    <w:tmpl w:val="9E28D3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CB0533"/>
    <w:multiLevelType w:val="hybridMultilevel"/>
    <w:tmpl w:val="9B34B5AA"/>
    <w:lvl w:ilvl="0" w:tplc="0E90234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AB2378"/>
    <w:multiLevelType w:val="hybridMultilevel"/>
    <w:tmpl w:val="160E6A98"/>
    <w:lvl w:ilvl="0" w:tplc="9B8850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3AE1326"/>
    <w:multiLevelType w:val="hybridMultilevel"/>
    <w:tmpl w:val="172656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002D79"/>
    <w:multiLevelType w:val="hybridMultilevel"/>
    <w:tmpl w:val="149AB3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0770D1"/>
    <w:multiLevelType w:val="hybridMultilevel"/>
    <w:tmpl w:val="C20CBC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EA11BFD"/>
    <w:multiLevelType w:val="hybridMultilevel"/>
    <w:tmpl w:val="956E2FB0"/>
    <w:lvl w:ilvl="0" w:tplc="5FA22B2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nsid w:val="639F04C9"/>
    <w:multiLevelType w:val="hybridMultilevel"/>
    <w:tmpl w:val="43162E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1F2EE7"/>
    <w:multiLevelType w:val="hybridMultilevel"/>
    <w:tmpl w:val="15F017EE"/>
    <w:lvl w:ilvl="0" w:tplc="32D463B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A5490B"/>
    <w:multiLevelType w:val="hybridMultilevel"/>
    <w:tmpl w:val="114022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DE2FEB"/>
    <w:multiLevelType w:val="hybridMultilevel"/>
    <w:tmpl w:val="A7724A1E"/>
    <w:lvl w:ilvl="0" w:tplc="D9BCBE8C">
      <w:start w:val="6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322492"/>
    <w:multiLevelType w:val="hybridMultilevel"/>
    <w:tmpl w:val="47088E7C"/>
    <w:lvl w:ilvl="0" w:tplc="FA0A1C7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CE3314"/>
    <w:multiLevelType w:val="hybridMultilevel"/>
    <w:tmpl w:val="8AB00924"/>
    <w:lvl w:ilvl="0" w:tplc="3E941F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E05AA7"/>
    <w:multiLevelType w:val="hybridMultilevel"/>
    <w:tmpl w:val="AAB0AF28"/>
    <w:lvl w:ilvl="0" w:tplc="6A6409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3"/>
  </w:num>
  <w:num w:numId="3">
    <w:abstractNumId w:val="15"/>
  </w:num>
  <w:num w:numId="4">
    <w:abstractNumId w:val="40"/>
  </w:num>
  <w:num w:numId="5">
    <w:abstractNumId w:val="3"/>
  </w:num>
  <w:num w:numId="6">
    <w:abstractNumId w:val="36"/>
  </w:num>
  <w:num w:numId="7">
    <w:abstractNumId w:val="6"/>
  </w:num>
  <w:num w:numId="8">
    <w:abstractNumId w:val="10"/>
  </w:num>
  <w:num w:numId="9">
    <w:abstractNumId w:val="14"/>
  </w:num>
  <w:num w:numId="10">
    <w:abstractNumId w:val="22"/>
  </w:num>
  <w:num w:numId="11">
    <w:abstractNumId w:val="7"/>
  </w:num>
  <w:num w:numId="12">
    <w:abstractNumId w:val="29"/>
  </w:num>
  <w:num w:numId="13">
    <w:abstractNumId w:val="26"/>
  </w:num>
  <w:num w:numId="14">
    <w:abstractNumId w:val="18"/>
  </w:num>
  <w:num w:numId="15">
    <w:abstractNumId w:val="34"/>
  </w:num>
  <w:num w:numId="16">
    <w:abstractNumId w:val="23"/>
  </w:num>
  <w:num w:numId="17">
    <w:abstractNumId w:val="25"/>
  </w:num>
  <w:num w:numId="18">
    <w:abstractNumId w:val="31"/>
  </w:num>
  <w:num w:numId="19">
    <w:abstractNumId w:val="37"/>
  </w:num>
  <w:num w:numId="20">
    <w:abstractNumId w:val="8"/>
  </w:num>
  <w:num w:numId="21">
    <w:abstractNumId w:val="21"/>
  </w:num>
  <w:num w:numId="22">
    <w:abstractNumId w:val="28"/>
  </w:num>
  <w:num w:numId="23">
    <w:abstractNumId w:val="27"/>
  </w:num>
  <w:num w:numId="24">
    <w:abstractNumId w:val="12"/>
  </w:num>
  <w:num w:numId="25">
    <w:abstractNumId w:val="20"/>
  </w:num>
  <w:num w:numId="26">
    <w:abstractNumId w:val="32"/>
  </w:num>
  <w:num w:numId="27">
    <w:abstractNumId w:val="30"/>
  </w:num>
  <w:num w:numId="28">
    <w:abstractNumId w:val="38"/>
  </w:num>
  <w:num w:numId="29">
    <w:abstractNumId w:val="5"/>
  </w:num>
  <w:num w:numId="30">
    <w:abstractNumId w:val="24"/>
  </w:num>
  <w:num w:numId="31">
    <w:abstractNumId w:val="2"/>
  </w:num>
  <w:num w:numId="32">
    <w:abstractNumId w:val="17"/>
  </w:num>
  <w:num w:numId="33">
    <w:abstractNumId w:val="9"/>
  </w:num>
  <w:num w:numId="34">
    <w:abstractNumId w:val="0"/>
  </w:num>
  <w:num w:numId="35">
    <w:abstractNumId w:val="33"/>
  </w:num>
  <w:num w:numId="36">
    <w:abstractNumId w:val="11"/>
  </w:num>
  <w:num w:numId="37">
    <w:abstractNumId w:val="16"/>
  </w:num>
  <w:num w:numId="38">
    <w:abstractNumId w:val="35"/>
  </w:num>
  <w:num w:numId="39">
    <w:abstractNumId w:val="39"/>
  </w:num>
  <w:num w:numId="40">
    <w:abstractNumId w:val="19"/>
  </w:num>
  <w:num w:numId="41">
    <w:abstractNumId w:val="4"/>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876"/>
    <w:rsid w:val="00012CC4"/>
    <w:rsid w:val="00013580"/>
    <w:rsid w:val="00017996"/>
    <w:rsid w:val="0003036D"/>
    <w:rsid w:val="00044EC7"/>
    <w:rsid w:val="00060CC7"/>
    <w:rsid w:val="0007308D"/>
    <w:rsid w:val="000849CA"/>
    <w:rsid w:val="00085E07"/>
    <w:rsid w:val="00087598"/>
    <w:rsid w:val="000F13F5"/>
    <w:rsid w:val="001422F4"/>
    <w:rsid w:val="00150335"/>
    <w:rsid w:val="00150D9B"/>
    <w:rsid w:val="00164A3B"/>
    <w:rsid w:val="00184F16"/>
    <w:rsid w:val="0018552A"/>
    <w:rsid w:val="001979F7"/>
    <w:rsid w:val="001A4220"/>
    <w:rsid w:val="001C0766"/>
    <w:rsid w:val="00202A1B"/>
    <w:rsid w:val="002328F3"/>
    <w:rsid w:val="00237BA1"/>
    <w:rsid w:val="0024184A"/>
    <w:rsid w:val="00265BAD"/>
    <w:rsid w:val="0028240B"/>
    <w:rsid w:val="00291252"/>
    <w:rsid w:val="002916B0"/>
    <w:rsid w:val="002A26F5"/>
    <w:rsid w:val="002C3038"/>
    <w:rsid w:val="00357ECB"/>
    <w:rsid w:val="00375DF4"/>
    <w:rsid w:val="00384612"/>
    <w:rsid w:val="003B12B7"/>
    <w:rsid w:val="003B1F92"/>
    <w:rsid w:val="003C0523"/>
    <w:rsid w:val="004028E0"/>
    <w:rsid w:val="00415FBA"/>
    <w:rsid w:val="00417EB4"/>
    <w:rsid w:val="00423CF3"/>
    <w:rsid w:val="00440780"/>
    <w:rsid w:val="00462820"/>
    <w:rsid w:val="00482FF5"/>
    <w:rsid w:val="004B27D6"/>
    <w:rsid w:val="004C64DE"/>
    <w:rsid w:val="00541D15"/>
    <w:rsid w:val="005444DA"/>
    <w:rsid w:val="005615D3"/>
    <w:rsid w:val="00563C8D"/>
    <w:rsid w:val="00566F6C"/>
    <w:rsid w:val="0056763C"/>
    <w:rsid w:val="00575AE6"/>
    <w:rsid w:val="005859ED"/>
    <w:rsid w:val="00597697"/>
    <w:rsid w:val="005B7231"/>
    <w:rsid w:val="005F3599"/>
    <w:rsid w:val="00600267"/>
    <w:rsid w:val="0064146C"/>
    <w:rsid w:val="00650633"/>
    <w:rsid w:val="00673165"/>
    <w:rsid w:val="00674CCD"/>
    <w:rsid w:val="0068169C"/>
    <w:rsid w:val="006B54B9"/>
    <w:rsid w:val="006D1C3A"/>
    <w:rsid w:val="006F1A07"/>
    <w:rsid w:val="00750614"/>
    <w:rsid w:val="00753806"/>
    <w:rsid w:val="0077086D"/>
    <w:rsid w:val="007A60F1"/>
    <w:rsid w:val="007B7567"/>
    <w:rsid w:val="007C3104"/>
    <w:rsid w:val="007C361F"/>
    <w:rsid w:val="00834859"/>
    <w:rsid w:val="0085250F"/>
    <w:rsid w:val="0085700C"/>
    <w:rsid w:val="00860893"/>
    <w:rsid w:val="00862641"/>
    <w:rsid w:val="008632D1"/>
    <w:rsid w:val="00873385"/>
    <w:rsid w:val="008C5B01"/>
    <w:rsid w:val="008C6C6D"/>
    <w:rsid w:val="008D79CE"/>
    <w:rsid w:val="00927A93"/>
    <w:rsid w:val="00936577"/>
    <w:rsid w:val="009409E3"/>
    <w:rsid w:val="00975552"/>
    <w:rsid w:val="00995063"/>
    <w:rsid w:val="009A0324"/>
    <w:rsid w:val="009D74B5"/>
    <w:rsid w:val="009F1FD6"/>
    <w:rsid w:val="009F41F6"/>
    <w:rsid w:val="00A12379"/>
    <w:rsid w:val="00A2121F"/>
    <w:rsid w:val="00A32665"/>
    <w:rsid w:val="00A350D6"/>
    <w:rsid w:val="00A54CC2"/>
    <w:rsid w:val="00A5618A"/>
    <w:rsid w:val="00A84E01"/>
    <w:rsid w:val="00AA7A38"/>
    <w:rsid w:val="00AC29CF"/>
    <w:rsid w:val="00AD5830"/>
    <w:rsid w:val="00AF6CEA"/>
    <w:rsid w:val="00B10399"/>
    <w:rsid w:val="00B14494"/>
    <w:rsid w:val="00B36B96"/>
    <w:rsid w:val="00B41FD5"/>
    <w:rsid w:val="00B6528A"/>
    <w:rsid w:val="00B67801"/>
    <w:rsid w:val="00B758F3"/>
    <w:rsid w:val="00B7618D"/>
    <w:rsid w:val="00B80A20"/>
    <w:rsid w:val="00B959EE"/>
    <w:rsid w:val="00BA35FF"/>
    <w:rsid w:val="00BA6E97"/>
    <w:rsid w:val="00BC5CDB"/>
    <w:rsid w:val="00BE15C8"/>
    <w:rsid w:val="00BE696B"/>
    <w:rsid w:val="00BF00EE"/>
    <w:rsid w:val="00BF3BEE"/>
    <w:rsid w:val="00BF72D3"/>
    <w:rsid w:val="00C065DA"/>
    <w:rsid w:val="00C12C2C"/>
    <w:rsid w:val="00C24139"/>
    <w:rsid w:val="00C30B60"/>
    <w:rsid w:val="00C64362"/>
    <w:rsid w:val="00C64F82"/>
    <w:rsid w:val="00C7155B"/>
    <w:rsid w:val="00C8118C"/>
    <w:rsid w:val="00C9557E"/>
    <w:rsid w:val="00CD713B"/>
    <w:rsid w:val="00CE7A50"/>
    <w:rsid w:val="00D07C27"/>
    <w:rsid w:val="00D148C2"/>
    <w:rsid w:val="00D24B3C"/>
    <w:rsid w:val="00D76226"/>
    <w:rsid w:val="00D81FAB"/>
    <w:rsid w:val="00D83D05"/>
    <w:rsid w:val="00D83F79"/>
    <w:rsid w:val="00D95D1D"/>
    <w:rsid w:val="00DB0528"/>
    <w:rsid w:val="00E32061"/>
    <w:rsid w:val="00E46CD0"/>
    <w:rsid w:val="00E47E93"/>
    <w:rsid w:val="00E52FBE"/>
    <w:rsid w:val="00E74A29"/>
    <w:rsid w:val="00E82C15"/>
    <w:rsid w:val="00EA36A2"/>
    <w:rsid w:val="00EA7700"/>
    <w:rsid w:val="00EC7876"/>
    <w:rsid w:val="00ED290A"/>
    <w:rsid w:val="00EE1E84"/>
    <w:rsid w:val="00EF3F65"/>
    <w:rsid w:val="00F46F1C"/>
    <w:rsid w:val="00F55BBF"/>
    <w:rsid w:val="00F62BB2"/>
    <w:rsid w:val="00F62F98"/>
    <w:rsid w:val="00F86E19"/>
    <w:rsid w:val="00F91B8E"/>
    <w:rsid w:val="00F93A62"/>
    <w:rsid w:val="00FC5A7F"/>
    <w:rsid w:val="00FE1A11"/>
    <w:rsid w:val="00FF3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58B40BD-CDA8-4DDB-B124-8805F7CD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876"/>
    <w:pPr>
      <w:spacing w:after="0" w:line="240" w:lineRule="auto"/>
    </w:pPr>
    <w:rPr>
      <w:rFonts w:ascii="Trebuchet MS" w:eastAsia="Times New Roman" w:hAnsi="Trebuchet MS" w:cs="Times New Roman"/>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876"/>
    <w:pPr>
      <w:spacing w:after="200" w:line="276" w:lineRule="auto"/>
      <w:ind w:left="720"/>
      <w:contextualSpacing/>
    </w:pPr>
    <w:rPr>
      <w:rFonts w:ascii="Calibri" w:eastAsia="Calibri" w:hAnsi="Calibri"/>
      <w:color w:val="auto"/>
      <w:sz w:val="22"/>
      <w:szCs w:val="22"/>
    </w:rPr>
  </w:style>
  <w:style w:type="paragraph" w:styleId="Header">
    <w:name w:val="header"/>
    <w:basedOn w:val="Normal"/>
    <w:link w:val="HeaderChar"/>
    <w:uiPriority w:val="99"/>
    <w:unhideWhenUsed/>
    <w:rsid w:val="00EC7876"/>
    <w:pPr>
      <w:tabs>
        <w:tab w:val="center" w:pos="4680"/>
        <w:tab w:val="right" w:pos="9360"/>
      </w:tabs>
    </w:pPr>
  </w:style>
  <w:style w:type="character" w:customStyle="1" w:styleId="HeaderChar">
    <w:name w:val="Header Char"/>
    <w:basedOn w:val="DefaultParagraphFont"/>
    <w:link w:val="Header"/>
    <w:uiPriority w:val="99"/>
    <w:rsid w:val="00EC7876"/>
    <w:rPr>
      <w:rFonts w:ascii="Trebuchet MS" w:eastAsia="Times New Roman" w:hAnsi="Trebuchet MS" w:cs="Times New Roman"/>
      <w:color w:val="000000"/>
      <w:sz w:val="24"/>
      <w:szCs w:val="24"/>
    </w:rPr>
  </w:style>
  <w:style w:type="paragraph" w:styleId="Footer">
    <w:name w:val="footer"/>
    <w:basedOn w:val="Normal"/>
    <w:link w:val="FooterChar"/>
    <w:uiPriority w:val="99"/>
    <w:unhideWhenUsed/>
    <w:rsid w:val="00EC7876"/>
    <w:pPr>
      <w:tabs>
        <w:tab w:val="center" w:pos="4680"/>
        <w:tab w:val="right" w:pos="9360"/>
      </w:tabs>
    </w:pPr>
  </w:style>
  <w:style w:type="character" w:customStyle="1" w:styleId="FooterChar">
    <w:name w:val="Footer Char"/>
    <w:basedOn w:val="DefaultParagraphFont"/>
    <w:link w:val="Footer"/>
    <w:uiPriority w:val="99"/>
    <w:rsid w:val="00EC7876"/>
    <w:rPr>
      <w:rFonts w:ascii="Trebuchet MS" w:eastAsia="Times New Roman" w:hAnsi="Trebuchet MS" w:cs="Times New Roman"/>
      <w:color w:val="000000"/>
      <w:sz w:val="24"/>
      <w:szCs w:val="24"/>
    </w:rPr>
  </w:style>
  <w:style w:type="paragraph" w:styleId="BalloonText">
    <w:name w:val="Balloon Text"/>
    <w:basedOn w:val="Normal"/>
    <w:link w:val="BalloonTextChar"/>
    <w:uiPriority w:val="99"/>
    <w:semiHidden/>
    <w:unhideWhenUsed/>
    <w:rsid w:val="006414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46C"/>
    <w:rPr>
      <w:rFonts w:ascii="Segoe UI" w:eastAsia="Times New Roman" w:hAnsi="Segoe UI" w:cs="Segoe UI"/>
      <w:color w:val="000000"/>
      <w:sz w:val="18"/>
      <w:szCs w:val="18"/>
    </w:rPr>
  </w:style>
  <w:style w:type="table" w:styleId="TableGrid">
    <w:name w:val="Table Grid"/>
    <w:basedOn w:val="TableNormal"/>
    <w:uiPriority w:val="39"/>
    <w:rsid w:val="00CD71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C36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45288">
      <w:bodyDiv w:val="1"/>
      <w:marLeft w:val="0"/>
      <w:marRight w:val="0"/>
      <w:marTop w:val="0"/>
      <w:marBottom w:val="0"/>
      <w:divBdr>
        <w:top w:val="none" w:sz="0" w:space="0" w:color="auto"/>
        <w:left w:val="none" w:sz="0" w:space="0" w:color="auto"/>
        <w:bottom w:val="none" w:sz="0" w:space="0" w:color="auto"/>
        <w:right w:val="none" w:sz="0" w:space="0" w:color="auto"/>
      </w:divBdr>
    </w:div>
    <w:div w:id="506288227">
      <w:bodyDiv w:val="1"/>
      <w:marLeft w:val="0"/>
      <w:marRight w:val="0"/>
      <w:marTop w:val="0"/>
      <w:marBottom w:val="0"/>
      <w:divBdr>
        <w:top w:val="none" w:sz="0" w:space="0" w:color="auto"/>
        <w:left w:val="none" w:sz="0" w:space="0" w:color="auto"/>
        <w:bottom w:val="none" w:sz="0" w:space="0" w:color="auto"/>
        <w:right w:val="none" w:sz="0" w:space="0" w:color="auto"/>
      </w:divBdr>
      <w:divsChild>
        <w:div w:id="528876090">
          <w:marLeft w:val="0"/>
          <w:marRight w:val="0"/>
          <w:marTop w:val="0"/>
          <w:marBottom w:val="0"/>
          <w:divBdr>
            <w:top w:val="none" w:sz="0" w:space="0" w:color="auto"/>
            <w:left w:val="none" w:sz="0" w:space="0" w:color="auto"/>
            <w:bottom w:val="none" w:sz="0" w:space="0" w:color="auto"/>
            <w:right w:val="none" w:sz="0" w:space="0" w:color="auto"/>
          </w:divBdr>
        </w:div>
        <w:div w:id="1872766364">
          <w:marLeft w:val="0"/>
          <w:marRight w:val="0"/>
          <w:marTop w:val="0"/>
          <w:marBottom w:val="0"/>
          <w:divBdr>
            <w:top w:val="none" w:sz="0" w:space="0" w:color="auto"/>
            <w:left w:val="none" w:sz="0" w:space="0" w:color="auto"/>
            <w:bottom w:val="none" w:sz="0" w:space="0" w:color="auto"/>
            <w:right w:val="none" w:sz="0" w:space="0" w:color="auto"/>
          </w:divBdr>
        </w:div>
        <w:div w:id="1489983079">
          <w:marLeft w:val="0"/>
          <w:marRight w:val="0"/>
          <w:marTop w:val="0"/>
          <w:marBottom w:val="0"/>
          <w:divBdr>
            <w:top w:val="none" w:sz="0" w:space="0" w:color="auto"/>
            <w:left w:val="none" w:sz="0" w:space="0" w:color="auto"/>
            <w:bottom w:val="none" w:sz="0" w:space="0" w:color="auto"/>
            <w:right w:val="none" w:sz="0" w:space="0" w:color="auto"/>
          </w:divBdr>
        </w:div>
        <w:div w:id="1177618513">
          <w:marLeft w:val="0"/>
          <w:marRight w:val="0"/>
          <w:marTop w:val="0"/>
          <w:marBottom w:val="0"/>
          <w:divBdr>
            <w:top w:val="none" w:sz="0" w:space="0" w:color="auto"/>
            <w:left w:val="none" w:sz="0" w:space="0" w:color="auto"/>
            <w:bottom w:val="none" w:sz="0" w:space="0" w:color="auto"/>
            <w:right w:val="none" w:sz="0" w:space="0" w:color="auto"/>
          </w:divBdr>
        </w:div>
        <w:div w:id="544217095">
          <w:marLeft w:val="0"/>
          <w:marRight w:val="0"/>
          <w:marTop w:val="0"/>
          <w:marBottom w:val="0"/>
          <w:divBdr>
            <w:top w:val="none" w:sz="0" w:space="0" w:color="auto"/>
            <w:left w:val="none" w:sz="0" w:space="0" w:color="auto"/>
            <w:bottom w:val="none" w:sz="0" w:space="0" w:color="auto"/>
            <w:right w:val="none" w:sz="0" w:space="0" w:color="auto"/>
          </w:divBdr>
        </w:div>
        <w:div w:id="1339186796">
          <w:marLeft w:val="0"/>
          <w:marRight w:val="0"/>
          <w:marTop w:val="0"/>
          <w:marBottom w:val="0"/>
          <w:divBdr>
            <w:top w:val="none" w:sz="0" w:space="0" w:color="auto"/>
            <w:left w:val="none" w:sz="0" w:space="0" w:color="auto"/>
            <w:bottom w:val="none" w:sz="0" w:space="0" w:color="auto"/>
            <w:right w:val="none" w:sz="0" w:space="0" w:color="auto"/>
          </w:divBdr>
        </w:div>
        <w:div w:id="2108034951">
          <w:marLeft w:val="0"/>
          <w:marRight w:val="0"/>
          <w:marTop w:val="0"/>
          <w:marBottom w:val="0"/>
          <w:divBdr>
            <w:top w:val="none" w:sz="0" w:space="0" w:color="auto"/>
            <w:left w:val="none" w:sz="0" w:space="0" w:color="auto"/>
            <w:bottom w:val="none" w:sz="0" w:space="0" w:color="auto"/>
            <w:right w:val="none" w:sz="0" w:space="0" w:color="auto"/>
          </w:divBdr>
        </w:div>
        <w:div w:id="1252355921">
          <w:marLeft w:val="0"/>
          <w:marRight w:val="0"/>
          <w:marTop w:val="0"/>
          <w:marBottom w:val="0"/>
          <w:divBdr>
            <w:top w:val="none" w:sz="0" w:space="0" w:color="auto"/>
            <w:left w:val="none" w:sz="0" w:space="0" w:color="auto"/>
            <w:bottom w:val="none" w:sz="0" w:space="0" w:color="auto"/>
            <w:right w:val="none" w:sz="0" w:space="0" w:color="auto"/>
          </w:divBdr>
        </w:div>
        <w:div w:id="523983759">
          <w:marLeft w:val="0"/>
          <w:marRight w:val="0"/>
          <w:marTop w:val="0"/>
          <w:marBottom w:val="0"/>
          <w:divBdr>
            <w:top w:val="none" w:sz="0" w:space="0" w:color="auto"/>
            <w:left w:val="none" w:sz="0" w:space="0" w:color="auto"/>
            <w:bottom w:val="none" w:sz="0" w:space="0" w:color="auto"/>
            <w:right w:val="none" w:sz="0" w:space="0" w:color="auto"/>
          </w:divBdr>
        </w:div>
        <w:div w:id="351608480">
          <w:marLeft w:val="0"/>
          <w:marRight w:val="0"/>
          <w:marTop w:val="0"/>
          <w:marBottom w:val="0"/>
          <w:divBdr>
            <w:top w:val="none" w:sz="0" w:space="0" w:color="auto"/>
            <w:left w:val="none" w:sz="0" w:space="0" w:color="auto"/>
            <w:bottom w:val="none" w:sz="0" w:space="0" w:color="auto"/>
            <w:right w:val="none" w:sz="0" w:space="0" w:color="auto"/>
          </w:divBdr>
        </w:div>
        <w:div w:id="17312656">
          <w:marLeft w:val="0"/>
          <w:marRight w:val="0"/>
          <w:marTop w:val="0"/>
          <w:marBottom w:val="0"/>
          <w:divBdr>
            <w:top w:val="none" w:sz="0" w:space="0" w:color="auto"/>
            <w:left w:val="none" w:sz="0" w:space="0" w:color="auto"/>
            <w:bottom w:val="none" w:sz="0" w:space="0" w:color="auto"/>
            <w:right w:val="none" w:sz="0" w:space="0" w:color="auto"/>
          </w:divBdr>
        </w:div>
        <w:div w:id="956645759">
          <w:marLeft w:val="0"/>
          <w:marRight w:val="0"/>
          <w:marTop w:val="0"/>
          <w:marBottom w:val="0"/>
          <w:divBdr>
            <w:top w:val="none" w:sz="0" w:space="0" w:color="auto"/>
            <w:left w:val="none" w:sz="0" w:space="0" w:color="auto"/>
            <w:bottom w:val="none" w:sz="0" w:space="0" w:color="auto"/>
            <w:right w:val="none" w:sz="0" w:space="0" w:color="auto"/>
          </w:divBdr>
        </w:div>
        <w:div w:id="1165897977">
          <w:marLeft w:val="0"/>
          <w:marRight w:val="0"/>
          <w:marTop w:val="0"/>
          <w:marBottom w:val="0"/>
          <w:divBdr>
            <w:top w:val="none" w:sz="0" w:space="0" w:color="auto"/>
            <w:left w:val="none" w:sz="0" w:space="0" w:color="auto"/>
            <w:bottom w:val="none" w:sz="0" w:space="0" w:color="auto"/>
            <w:right w:val="none" w:sz="0" w:space="0" w:color="auto"/>
          </w:divBdr>
        </w:div>
        <w:div w:id="1699232101">
          <w:marLeft w:val="0"/>
          <w:marRight w:val="0"/>
          <w:marTop w:val="0"/>
          <w:marBottom w:val="0"/>
          <w:divBdr>
            <w:top w:val="none" w:sz="0" w:space="0" w:color="auto"/>
            <w:left w:val="none" w:sz="0" w:space="0" w:color="auto"/>
            <w:bottom w:val="none" w:sz="0" w:space="0" w:color="auto"/>
            <w:right w:val="none" w:sz="0" w:space="0" w:color="auto"/>
          </w:divBdr>
        </w:div>
        <w:div w:id="1580401450">
          <w:marLeft w:val="0"/>
          <w:marRight w:val="0"/>
          <w:marTop w:val="0"/>
          <w:marBottom w:val="0"/>
          <w:divBdr>
            <w:top w:val="none" w:sz="0" w:space="0" w:color="auto"/>
            <w:left w:val="none" w:sz="0" w:space="0" w:color="auto"/>
            <w:bottom w:val="none" w:sz="0" w:space="0" w:color="auto"/>
            <w:right w:val="none" w:sz="0" w:space="0" w:color="auto"/>
          </w:divBdr>
        </w:div>
        <w:div w:id="2048294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 Holbrook</dc:creator>
  <cp:lastModifiedBy>Deborah H. Selman</cp:lastModifiedBy>
  <cp:revision>6</cp:revision>
  <cp:lastPrinted>2015-12-02T14:34:00Z</cp:lastPrinted>
  <dcterms:created xsi:type="dcterms:W3CDTF">2018-04-08T21:50:00Z</dcterms:created>
  <dcterms:modified xsi:type="dcterms:W3CDTF">2018-04-08T21:56:00Z</dcterms:modified>
</cp:coreProperties>
</file>