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5159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C598F">
            <w:rPr>
              <w:rStyle w:val="FormStyle"/>
              <w:b w:val="0"/>
              <w:caps/>
              <w:color w:val="auto"/>
            </w:rPr>
            <w:t>RED 4012 Foundations of literacy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B4A2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B4A2B"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B4A2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B4A2B"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B4A2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B4A2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B4A2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B4A2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B4A2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B4A2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B4A2B"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C5159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B4A2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5159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B4A2B"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C5159D">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Fonts w:ascii="Calibri" w:hAnsi="Calibri" w:cs="Arial"/>
                <w:sz w:val="22"/>
              </w:rPr>
              <w:t>The teacher candidate will apply effective strategies for differentiating reading instruction for a diverse population of students.</w:t>
            </w:r>
          </w:p>
        </w:tc>
        <w:tc>
          <w:tcPr>
            <w:tcW w:w="3294" w:type="dxa"/>
          </w:tcPr>
          <w:p w:rsidR="00AC598F" w:rsidRDefault="00AC598F">
            <w:pPr>
              <w:rPr>
                <w:rFonts w:ascii="Calibri" w:hAnsi="Calibri" w:cs="Arial"/>
                <w:sz w:val="22"/>
                <w:lang w:eastAsia="ar-SA"/>
              </w:rPr>
            </w:pPr>
            <w:r>
              <w:rPr>
                <w:rFonts w:ascii="Calibri" w:hAnsi="Calibri" w:cs="Arial"/>
                <w:sz w:val="22"/>
              </w:rPr>
              <w:t>Field Experience Showcase</w:t>
            </w:r>
          </w:p>
          <w:p w:rsidR="00AC598F" w:rsidRDefault="00AC598F">
            <w:pPr>
              <w:rPr>
                <w:rFonts w:ascii="Calibri" w:hAnsi="Calibri" w:cs="Arial"/>
                <w:sz w:val="22"/>
              </w:rPr>
            </w:pPr>
          </w:p>
          <w:p w:rsidR="00AC598F" w:rsidRDefault="00AC598F">
            <w:pPr>
              <w:widowControl w:val="0"/>
              <w:suppressAutoHyphens/>
              <w:rPr>
                <w:rFonts w:ascii="Calibri" w:hAnsi="Calibri" w:cs="Arial"/>
                <w:b/>
                <w:sz w:val="22"/>
                <w:u w:val="single"/>
                <w:lang w:eastAsia="ar-SA"/>
              </w:rPr>
            </w:pPr>
            <w:r>
              <w:rPr>
                <w:rFonts w:ascii="Calibri" w:hAnsi="Calibri" w:cs="Arial"/>
                <w:sz w:val="22"/>
              </w:rPr>
              <w:t>Lesson  Plans</w:t>
            </w: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TIM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Fonts w:ascii="Calibri" w:hAnsi="Calibri" w:cs="Arial"/>
                <w:sz w:val="22"/>
              </w:rPr>
              <w:t>The teacher candidate will evaluate the role of phonology, phonemic awareness, and phonics as they relate to language development and reading performance.</w:t>
            </w:r>
          </w:p>
        </w:tc>
        <w:tc>
          <w:tcPr>
            <w:tcW w:w="3294" w:type="dxa"/>
          </w:tcPr>
          <w:p w:rsidR="00AC598F" w:rsidRDefault="00AC598F">
            <w:pPr>
              <w:rPr>
                <w:rFonts w:ascii="Calibri" w:hAnsi="Calibri" w:cs="Arial"/>
                <w:sz w:val="22"/>
                <w:lang w:eastAsia="ar-SA"/>
              </w:rPr>
            </w:pPr>
            <w:r>
              <w:rPr>
                <w:rFonts w:ascii="Calibri" w:hAnsi="Calibri" w:cs="Arial"/>
                <w:sz w:val="22"/>
              </w:rPr>
              <w:t>Guided Reading Journal</w:t>
            </w:r>
          </w:p>
          <w:p w:rsidR="00AC598F" w:rsidRDefault="00AC598F">
            <w:pPr>
              <w:widowControl w:val="0"/>
              <w:suppressAutoHyphens/>
              <w:ind w:firstLine="720"/>
              <w:rPr>
                <w:rFonts w:ascii="Calibri" w:hAnsi="Calibri" w:cs="Arial"/>
                <w:sz w:val="22"/>
                <w:lang w:eastAsia="ar-SA"/>
              </w:rPr>
            </w:pP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COM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Fonts w:ascii="Calibri" w:hAnsi="Calibri" w:cs="Arial"/>
                <w:sz w:val="22"/>
              </w:rPr>
              <w:t>The teacher candidate will apply the principles of morphology, semantics and syntax as they relate to language acquisition and reading development.</w:t>
            </w:r>
          </w:p>
        </w:tc>
        <w:tc>
          <w:tcPr>
            <w:tcW w:w="3294" w:type="dxa"/>
          </w:tcPr>
          <w:p w:rsidR="00AC598F" w:rsidRDefault="00AC598F">
            <w:pPr>
              <w:rPr>
                <w:rFonts w:ascii="Calibri" w:hAnsi="Calibri" w:cs="Arial"/>
                <w:sz w:val="22"/>
                <w:lang w:eastAsia="ar-SA"/>
              </w:rPr>
            </w:pPr>
            <w:r>
              <w:rPr>
                <w:rFonts w:ascii="Calibri" w:hAnsi="Calibri" w:cs="Arial"/>
                <w:sz w:val="22"/>
              </w:rPr>
              <w:t>Field Experience Showcase</w:t>
            </w:r>
          </w:p>
          <w:p w:rsidR="00AC598F" w:rsidRDefault="00AC598F">
            <w:pPr>
              <w:rPr>
                <w:rFonts w:ascii="Calibri" w:hAnsi="Calibri" w:cs="Arial"/>
                <w:sz w:val="22"/>
              </w:rPr>
            </w:pPr>
          </w:p>
          <w:p w:rsidR="00AC598F" w:rsidRDefault="00AC598F">
            <w:pPr>
              <w:widowControl w:val="0"/>
              <w:suppressAutoHyphens/>
              <w:rPr>
                <w:rFonts w:ascii="Calibri" w:hAnsi="Calibri" w:cs="Arial"/>
                <w:b/>
                <w:sz w:val="22"/>
                <w:u w:val="single"/>
                <w:lang w:eastAsia="ar-SA"/>
              </w:rPr>
            </w:pPr>
            <w:r>
              <w:rPr>
                <w:rFonts w:ascii="Calibri" w:hAnsi="Calibri" w:cs="Arial"/>
                <w:sz w:val="22"/>
              </w:rPr>
              <w:t>Small Group Simulated Teaching</w:t>
            </w:r>
          </w:p>
        </w:tc>
        <w:tc>
          <w:tcPr>
            <w:tcW w:w="3168" w:type="dxa"/>
          </w:tcPr>
          <w:p w:rsidR="00AC598F" w:rsidRDefault="00AC598F">
            <w:pPr>
              <w:jc w:val="center"/>
              <w:rPr>
                <w:rFonts w:ascii="Calibri" w:hAnsi="Calibri" w:cs="Arial"/>
                <w:sz w:val="22"/>
                <w:lang w:eastAsia="ar-SA"/>
              </w:rPr>
            </w:pPr>
            <w:r>
              <w:rPr>
                <w:rFonts w:ascii="Calibri" w:hAnsi="Calibri" w:cs="Arial"/>
                <w:sz w:val="22"/>
              </w:rPr>
              <w:t>TIM</w:t>
            </w:r>
          </w:p>
          <w:p w:rsidR="00AC598F" w:rsidRDefault="00AC598F">
            <w:pPr>
              <w:jc w:val="center"/>
              <w:rPr>
                <w:rFonts w:ascii="Calibri" w:hAnsi="Calibri" w:cs="Arial"/>
                <w:sz w:val="22"/>
              </w:rPr>
            </w:pPr>
          </w:p>
          <w:p w:rsidR="00AC598F" w:rsidRDefault="00AC598F">
            <w:pPr>
              <w:jc w:val="center"/>
              <w:rPr>
                <w:rFonts w:ascii="Calibri" w:hAnsi="Calibri" w:cs="Arial"/>
                <w:sz w:val="22"/>
              </w:rPr>
            </w:pPr>
          </w:p>
          <w:p w:rsidR="00AC598F" w:rsidRDefault="00AC598F">
            <w:pPr>
              <w:jc w:val="center"/>
              <w:rPr>
                <w:rFonts w:ascii="Calibri" w:hAnsi="Calibri" w:cs="Arial"/>
                <w:sz w:val="22"/>
              </w:rPr>
            </w:pPr>
          </w:p>
          <w:p w:rsidR="00AC598F" w:rsidRDefault="00AC598F">
            <w:pPr>
              <w:widowControl w:val="0"/>
              <w:suppressAutoHyphens/>
              <w:jc w:val="center"/>
              <w:rPr>
                <w:rFonts w:ascii="Calibri" w:hAnsi="Calibri" w:cs="Arial"/>
                <w:sz w:val="22"/>
                <w:lang w:eastAsia="ar-SA"/>
              </w:rPr>
            </w:pPr>
            <w:r>
              <w:rPr>
                <w:rFonts w:ascii="Calibri" w:hAnsi="Calibri" w:cs="Arial"/>
                <w:sz w:val="22"/>
              </w:rPr>
              <w:t>COM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Style w:val="PageNumber"/>
                <w:rFonts w:ascii="Calibri" w:hAnsi="Calibri" w:cs="Arial"/>
                <w:sz w:val="22"/>
              </w:rPr>
              <w:t xml:space="preserve">The teacher candidate </w:t>
            </w:r>
            <w:r>
              <w:rPr>
                <w:rFonts w:ascii="Calibri" w:hAnsi="Calibri" w:cs="Arial"/>
                <w:sz w:val="22"/>
              </w:rPr>
              <w:t>will differentiate between informal language and academic language and understand the implications for reading instruction.</w:t>
            </w:r>
          </w:p>
        </w:tc>
        <w:tc>
          <w:tcPr>
            <w:tcW w:w="3294" w:type="dxa"/>
          </w:tcPr>
          <w:p w:rsidR="00AC598F" w:rsidRDefault="00AC598F">
            <w:pPr>
              <w:rPr>
                <w:rFonts w:ascii="Calibri" w:hAnsi="Calibri" w:cs="Arial"/>
                <w:sz w:val="22"/>
                <w:lang w:eastAsia="ar-SA"/>
              </w:rPr>
            </w:pPr>
            <w:r>
              <w:rPr>
                <w:rFonts w:ascii="Calibri" w:hAnsi="Calibri" w:cs="Arial"/>
                <w:sz w:val="22"/>
              </w:rPr>
              <w:t>Field Experience Showcase</w:t>
            </w:r>
          </w:p>
          <w:p w:rsidR="00AC598F" w:rsidRDefault="00AC598F">
            <w:pPr>
              <w:rPr>
                <w:rFonts w:ascii="Calibri" w:hAnsi="Calibri" w:cs="Arial"/>
                <w:sz w:val="22"/>
              </w:rPr>
            </w:pPr>
          </w:p>
          <w:p w:rsidR="00AC598F" w:rsidRDefault="00AC598F">
            <w:pPr>
              <w:rPr>
                <w:rFonts w:ascii="Calibri" w:hAnsi="Calibri" w:cs="Arial"/>
                <w:sz w:val="22"/>
              </w:rPr>
            </w:pPr>
            <w:r>
              <w:rPr>
                <w:rFonts w:ascii="Calibri" w:hAnsi="Calibri" w:cs="Arial"/>
                <w:sz w:val="22"/>
              </w:rPr>
              <w:t>Lesson Plans</w:t>
            </w:r>
          </w:p>
          <w:p w:rsidR="00AC598F" w:rsidRDefault="00AC598F">
            <w:pPr>
              <w:rPr>
                <w:rFonts w:ascii="Calibri" w:hAnsi="Calibri" w:cs="Arial"/>
                <w:sz w:val="22"/>
              </w:rPr>
            </w:pPr>
          </w:p>
          <w:p w:rsidR="00AC598F" w:rsidRDefault="00AC598F">
            <w:pPr>
              <w:widowControl w:val="0"/>
              <w:suppressAutoHyphens/>
              <w:rPr>
                <w:rFonts w:ascii="Calibri" w:hAnsi="Calibri" w:cs="Arial"/>
                <w:b/>
                <w:sz w:val="22"/>
                <w:u w:val="single"/>
                <w:lang w:eastAsia="ar-SA"/>
              </w:rPr>
            </w:pP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TIM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Fonts w:ascii="Calibri" w:hAnsi="Calibri" w:cs="Arial"/>
                <w:sz w:val="22"/>
              </w:rPr>
              <w:t>The</w:t>
            </w:r>
            <w:r>
              <w:rPr>
                <w:rStyle w:val="PageNumber"/>
                <w:rFonts w:ascii="Calibri" w:hAnsi="Calibri" w:cs="Arial"/>
                <w:sz w:val="22"/>
              </w:rPr>
              <w:t xml:space="preserve"> teacher candidate</w:t>
            </w:r>
            <w:r>
              <w:rPr>
                <w:rFonts w:ascii="Calibri" w:hAnsi="Calibri" w:cs="Arial"/>
                <w:sz w:val="22"/>
              </w:rPr>
              <w:t xml:space="preserve"> will analyze the interdependence between each of the major reading components and their effect upon fluency and comprehension in the reading process.</w:t>
            </w:r>
          </w:p>
        </w:tc>
        <w:tc>
          <w:tcPr>
            <w:tcW w:w="3294" w:type="dxa"/>
          </w:tcPr>
          <w:p w:rsidR="00AC598F" w:rsidRDefault="00AC598F">
            <w:pPr>
              <w:widowControl w:val="0"/>
              <w:suppressAutoHyphens/>
              <w:rPr>
                <w:rFonts w:ascii="Calibri" w:hAnsi="Calibri" w:cs="Arial"/>
                <w:b/>
                <w:sz w:val="22"/>
                <w:u w:val="single"/>
                <w:lang w:eastAsia="ar-SA"/>
              </w:rPr>
            </w:pPr>
            <w:r>
              <w:rPr>
                <w:rFonts w:ascii="Calibri" w:hAnsi="Calibri" w:cs="Arial"/>
                <w:sz w:val="22"/>
              </w:rPr>
              <w:t xml:space="preserve"> Guided Reading Journal</w:t>
            </w: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COM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Style w:val="PageNumber"/>
                <w:rFonts w:ascii="Calibri" w:hAnsi="Calibri" w:cs="Arial"/>
                <w:sz w:val="22"/>
              </w:rPr>
              <w:t>The teacher candidate</w:t>
            </w:r>
            <w:r>
              <w:rPr>
                <w:rFonts w:ascii="Calibri" w:hAnsi="Calibri" w:cs="Arial"/>
                <w:sz w:val="22"/>
              </w:rPr>
              <w:t xml:space="preserve"> will analyze the connection between listening, speaking, reading and writing; and apply that understanding to create meaningful literacy experiences for students.</w:t>
            </w:r>
          </w:p>
        </w:tc>
        <w:tc>
          <w:tcPr>
            <w:tcW w:w="3294" w:type="dxa"/>
          </w:tcPr>
          <w:p w:rsidR="00AC598F" w:rsidRDefault="00AC598F">
            <w:pPr>
              <w:rPr>
                <w:rFonts w:ascii="Calibri" w:hAnsi="Calibri" w:cs="Arial"/>
                <w:sz w:val="22"/>
                <w:lang w:eastAsia="ar-SA"/>
              </w:rPr>
            </w:pPr>
            <w:r>
              <w:rPr>
                <w:rFonts w:ascii="Calibri" w:hAnsi="Calibri" w:cs="Arial"/>
                <w:sz w:val="22"/>
              </w:rPr>
              <w:t>Field Experience Showcase</w:t>
            </w:r>
          </w:p>
          <w:p w:rsidR="00AC598F" w:rsidRDefault="00AC598F">
            <w:pPr>
              <w:rPr>
                <w:rFonts w:ascii="Calibri" w:hAnsi="Calibri" w:cs="Arial"/>
                <w:sz w:val="22"/>
              </w:rPr>
            </w:pPr>
          </w:p>
          <w:p w:rsidR="00AC598F" w:rsidRDefault="00AC598F">
            <w:pPr>
              <w:rPr>
                <w:rFonts w:ascii="Calibri" w:hAnsi="Calibri" w:cs="Arial"/>
                <w:sz w:val="22"/>
              </w:rPr>
            </w:pPr>
          </w:p>
          <w:p w:rsidR="00AC598F" w:rsidRDefault="00AC598F">
            <w:pPr>
              <w:widowControl w:val="0"/>
              <w:suppressAutoHyphens/>
              <w:rPr>
                <w:rFonts w:ascii="Calibri" w:hAnsi="Calibri" w:cs="Arial"/>
                <w:sz w:val="22"/>
                <w:lang w:eastAsia="ar-SA"/>
              </w:rPr>
            </w:pPr>
            <w:r>
              <w:rPr>
                <w:rFonts w:ascii="Calibri" w:hAnsi="Calibri" w:cs="Arial"/>
                <w:sz w:val="22"/>
              </w:rPr>
              <w:t>Literature Circles</w:t>
            </w: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TIM</w:t>
            </w:r>
          </w:p>
        </w:tc>
      </w:tr>
      <w:tr w:rsidR="00AC598F" w:rsidRPr="001715A0" w:rsidTr="00C5159D">
        <w:tc>
          <w:tcPr>
            <w:tcW w:w="3168" w:type="dxa"/>
          </w:tcPr>
          <w:p w:rsidR="00AC598F" w:rsidRDefault="00AC598F">
            <w:pPr>
              <w:widowControl w:val="0"/>
              <w:suppressAutoHyphens/>
              <w:rPr>
                <w:rStyle w:val="PageNumber"/>
                <w:rFonts w:ascii="Calibri" w:hAnsi="Calibri" w:cs="Arial"/>
                <w:sz w:val="22"/>
                <w:lang w:eastAsia="ar-SA"/>
              </w:rPr>
            </w:pPr>
            <w:r>
              <w:rPr>
                <w:rStyle w:val="PageNumber"/>
                <w:rFonts w:ascii="Calibri" w:hAnsi="Calibri" w:cs="Arial"/>
                <w:sz w:val="22"/>
              </w:rPr>
              <w:t>The teacher candidates will compare and contrast explicit reading instruction, whole language principles and balanced literacy approaches.</w:t>
            </w:r>
          </w:p>
        </w:tc>
        <w:tc>
          <w:tcPr>
            <w:tcW w:w="3294" w:type="dxa"/>
          </w:tcPr>
          <w:p w:rsidR="00AC598F" w:rsidRDefault="00AC598F">
            <w:pPr>
              <w:rPr>
                <w:rFonts w:ascii="Calibri" w:hAnsi="Calibri" w:cs="Arial"/>
                <w:sz w:val="22"/>
                <w:lang w:eastAsia="ar-SA"/>
              </w:rPr>
            </w:pPr>
            <w:r>
              <w:rPr>
                <w:rFonts w:ascii="Calibri" w:hAnsi="Calibri" w:cs="Arial"/>
                <w:sz w:val="22"/>
              </w:rPr>
              <w:t>Guided Reading Journal</w:t>
            </w:r>
          </w:p>
          <w:p w:rsidR="00AC598F" w:rsidRDefault="00AC598F">
            <w:pPr>
              <w:rPr>
                <w:rFonts w:ascii="Calibri" w:hAnsi="Calibri" w:cs="Arial"/>
                <w:sz w:val="22"/>
              </w:rPr>
            </w:pPr>
          </w:p>
          <w:p w:rsidR="00AC598F" w:rsidRDefault="00AC598F">
            <w:pPr>
              <w:rPr>
                <w:rFonts w:ascii="Calibri" w:hAnsi="Calibri" w:cs="Arial"/>
                <w:sz w:val="22"/>
              </w:rPr>
            </w:pPr>
            <w:r>
              <w:rPr>
                <w:rFonts w:ascii="Calibri" w:hAnsi="Calibri" w:cs="Arial"/>
                <w:sz w:val="22"/>
              </w:rPr>
              <w:t>Field Experience Showcase</w:t>
            </w:r>
          </w:p>
          <w:p w:rsidR="00AC598F" w:rsidRDefault="00AC598F">
            <w:pPr>
              <w:widowControl w:val="0"/>
              <w:suppressAutoHyphens/>
              <w:rPr>
                <w:rFonts w:ascii="Calibri" w:hAnsi="Calibri" w:cs="Arial"/>
                <w:sz w:val="22"/>
                <w:lang w:eastAsia="ar-SA"/>
              </w:rPr>
            </w:pPr>
            <w:r>
              <w:rPr>
                <w:rFonts w:ascii="Calibri" w:hAnsi="Calibri" w:cs="Arial"/>
                <w:sz w:val="22"/>
              </w:rPr>
              <w:t xml:space="preserve"> </w:t>
            </w:r>
          </w:p>
        </w:tc>
        <w:tc>
          <w:tcPr>
            <w:tcW w:w="3168" w:type="dxa"/>
          </w:tcPr>
          <w:p w:rsidR="00AC598F" w:rsidRDefault="00AC598F">
            <w:pPr>
              <w:jc w:val="center"/>
              <w:rPr>
                <w:rFonts w:ascii="Calibri" w:hAnsi="Calibri" w:cs="Arial"/>
                <w:sz w:val="22"/>
                <w:lang w:eastAsia="ar-SA"/>
              </w:rPr>
            </w:pPr>
            <w:r>
              <w:rPr>
                <w:rFonts w:ascii="Calibri" w:hAnsi="Calibri" w:cs="Arial"/>
                <w:sz w:val="22"/>
              </w:rPr>
              <w:t>COM</w:t>
            </w:r>
          </w:p>
          <w:p w:rsidR="00AC598F" w:rsidRDefault="00AC598F">
            <w:pPr>
              <w:jc w:val="center"/>
              <w:rPr>
                <w:rFonts w:ascii="Calibri" w:hAnsi="Calibri" w:cs="Arial"/>
                <w:sz w:val="22"/>
              </w:rPr>
            </w:pPr>
          </w:p>
          <w:p w:rsidR="00AC598F" w:rsidRDefault="00AC598F">
            <w:pPr>
              <w:widowControl w:val="0"/>
              <w:suppressAutoHyphens/>
              <w:jc w:val="center"/>
              <w:rPr>
                <w:rFonts w:ascii="Calibri" w:hAnsi="Calibri" w:cs="Arial"/>
                <w:sz w:val="22"/>
                <w:lang w:eastAsia="ar-SA"/>
              </w:rPr>
            </w:pPr>
            <w:r>
              <w:rPr>
                <w:rFonts w:ascii="Calibri" w:hAnsi="Calibri" w:cs="Arial"/>
                <w:sz w:val="22"/>
              </w:rPr>
              <w:t>TIM</w:t>
            </w:r>
          </w:p>
        </w:tc>
      </w:tr>
      <w:tr w:rsidR="00AC598F" w:rsidRPr="001715A0" w:rsidTr="00C5159D">
        <w:tc>
          <w:tcPr>
            <w:tcW w:w="3168" w:type="dxa"/>
          </w:tcPr>
          <w:p w:rsidR="00AC598F" w:rsidRDefault="00AC598F">
            <w:pPr>
              <w:widowControl w:val="0"/>
              <w:suppressAutoHyphens/>
              <w:rPr>
                <w:rFonts w:ascii="Calibri" w:hAnsi="Calibri" w:cs="Arial"/>
                <w:sz w:val="22"/>
                <w:u w:val="single"/>
                <w:lang w:eastAsia="ar-SA"/>
              </w:rPr>
            </w:pPr>
            <w:r>
              <w:rPr>
                <w:rStyle w:val="PageNumber"/>
                <w:rFonts w:ascii="Calibri" w:hAnsi="Calibri" w:cs="Arial"/>
                <w:sz w:val="22"/>
              </w:rPr>
              <w:t>The teacher candidate</w:t>
            </w:r>
            <w:r>
              <w:rPr>
                <w:rFonts w:ascii="Calibri" w:hAnsi="Calibri" w:cs="Arial"/>
                <w:sz w:val="22"/>
              </w:rPr>
              <w:t xml:space="preserve"> will classify characteristics of language acquisition and reading development of learners from mainstream, exceptional needs and ELL populations.</w:t>
            </w:r>
          </w:p>
        </w:tc>
        <w:tc>
          <w:tcPr>
            <w:tcW w:w="3294" w:type="dxa"/>
          </w:tcPr>
          <w:p w:rsidR="00AC598F" w:rsidRDefault="00AC598F">
            <w:pPr>
              <w:rPr>
                <w:rFonts w:ascii="Calibri" w:hAnsi="Calibri" w:cs="Arial"/>
                <w:sz w:val="22"/>
                <w:lang w:eastAsia="ar-SA"/>
              </w:rPr>
            </w:pPr>
            <w:r>
              <w:rPr>
                <w:rFonts w:ascii="Calibri" w:hAnsi="Calibri" w:cs="Arial"/>
                <w:sz w:val="22"/>
              </w:rPr>
              <w:t xml:space="preserve">Guided Reading Journal </w:t>
            </w:r>
          </w:p>
          <w:p w:rsidR="00AC598F" w:rsidRDefault="00AC598F">
            <w:pPr>
              <w:rPr>
                <w:rFonts w:ascii="Calibri" w:hAnsi="Calibri" w:cs="Arial"/>
                <w:sz w:val="22"/>
              </w:rPr>
            </w:pPr>
          </w:p>
          <w:p w:rsidR="00AC598F" w:rsidRDefault="00AC598F">
            <w:pPr>
              <w:widowControl w:val="0"/>
              <w:suppressAutoHyphens/>
              <w:rPr>
                <w:rFonts w:ascii="Calibri" w:hAnsi="Calibri" w:cs="Arial"/>
                <w:sz w:val="22"/>
                <w:lang w:eastAsia="ar-SA"/>
              </w:rPr>
            </w:pPr>
            <w:r>
              <w:rPr>
                <w:rFonts w:ascii="Calibri" w:hAnsi="Calibri" w:cs="Arial"/>
                <w:sz w:val="22"/>
              </w:rPr>
              <w:t>Lesson Plans</w:t>
            </w: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COM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Fonts w:ascii="Calibri" w:hAnsi="Calibri" w:cs="Arial"/>
                <w:sz w:val="22"/>
              </w:rPr>
              <w:t>The teacher candidate will design literacy experiences that promote comprehension and critica</w:t>
            </w:r>
            <w:r>
              <w:rPr>
                <w:rStyle w:val="PageNumber"/>
                <w:rFonts w:ascii="Calibri" w:hAnsi="Calibri" w:cs="Arial"/>
                <w:sz w:val="22"/>
              </w:rPr>
              <w:t>l thinking skills for a diverse population of students.</w:t>
            </w:r>
          </w:p>
        </w:tc>
        <w:tc>
          <w:tcPr>
            <w:tcW w:w="3294" w:type="dxa"/>
          </w:tcPr>
          <w:p w:rsidR="00AC598F" w:rsidRDefault="00AC598F">
            <w:pPr>
              <w:rPr>
                <w:rFonts w:ascii="Calibri" w:hAnsi="Calibri" w:cs="Arial"/>
                <w:sz w:val="22"/>
                <w:lang w:eastAsia="ar-SA"/>
              </w:rPr>
            </w:pPr>
            <w:r>
              <w:rPr>
                <w:rFonts w:ascii="Calibri" w:hAnsi="Calibri" w:cs="Arial"/>
                <w:sz w:val="22"/>
              </w:rPr>
              <w:t>Field Experience Showcase</w:t>
            </w:r>
          </w:p>
          <w:p w:rsidR="00AC598F" w:rsidRDefault="00AC598F">
            <w:pPr>
              <w:rPr>
                <w:rFonts w:ascii="Calibri" w:hAnsi="Calibri" w:cs="Arial"/>
                <w:sz w:val="22"/>
              </w:rPr>
            </w:pPr>
            <w:r>
              <w:rPr>
                <w:rFonts w:ascii="Calibri" w:hAnsi="Calibri" w:cs="Arial"/>
                <w:sz w:val="22"/>
              </w:rPr>
              <w:t>Lesson Plans</w:t>
            </w:r>
          </w:p>
          <w:p w:rsidR="00AC598F" w:rsidRDefault="00AC598F">
            <w:pPr>
              <w:widowControl w:val="0"/>
              <w:suppressAutoHyphens/>
              <w:rPr>
                <w:rFonts w:ascii="Calibri" w:hAnsi="Calibri" w:cs="Arial"/>
                <w:sz w:val="22"/>
                <w:lang w:eastAsia="ar-SA"/>
              </w:rPr>
            </w:pPr>
            <w:r>
              <w:rPr>
                <w:rFonts w:ascii="Calibri" w:hAnsi="Calibri" w:cs="Arial"/>
                <w:sz w:val="22"/>
              </w:rPr>
              <w:t>Small Group Simulated Teaching Activities</w:t>
            </w: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TIM</w:t>
            </w:r>
          </w:p>
        </w:tc>
      </w:tr>
      <w:tr w:rsidR="00AC598F" w:rsidRPr="001715A0" w:rsidTr="00C5159D">
        <w:tc>
          <w:tcPr>
            <w:tcW w:w="3168" w:type="dxa"/>
          </w:tcPr>
          <w:p w:rsidR="00AC598F" w:rsidRDefault="00AC598F">
            <w:pPr>
              <w:widowControl w:val="0"/>
              <w:suppressAutoHyphens/>
              <w:rPr>
                <w:rFonts w:ascii="Calibri" w:hAnsi="Calibri" w:cs="Arial"/>
                <w:sz w:val="22"/>
                <w:lang w:eastAsia="ar-SA"/>
              </w:rPr>
            </w:pPr>
            <w:r>
              <w:rPr>
                <w:rFonts w:ascii="Calibri" w:hAnsi="Calibri" w:cs="Arial"/>
                <w:sz w:val="22"/>
              </w:rPr>
              <w:t>The teacher candidate will create lessons that engender a love of reading among a diverse population of students.</w:t>
            </w:r>
          </w:p>
        </w:tc>
        <w:tc>
          <w:tcPr>
            <w:tcW w:w="3294" w:type="dxa"/>
          </w:tcPr>
          <w:p w:rsidR="00AC598F" w:rsidRDefault="00AC598F">
            <w:pPr>
              <w:rPr>
                <w:rFonts w:ascii="Calibri" w:hAnsi="Calibri" w:cs="Arial"/>
                <w:sz w:val="22"/>
                <w:lang w:eastAsia="ar-SA"/>
              </w:rPr>
            </w:pPr>
            <w:r>
              <w:rPr>
                <w:rFonts w:ascii="Calibri" w:hAnsi="Calibri" w:cs="Arial"/>
                <w:sz w:val="22"/>
              </w:rPr>
              <w:t>Field Experience Showcase</w:t>
            </w:r>
          </w:p>
          <w:p w:rsidR="00AC598F" w:rsidRDefault="00AC598F">
            <w:pPr>
              <w:rPr>
                <w:rFonts w:ascii="Calibri" w:hAnsi="Calibri" w:cs="Arial"/>
                <w:sz w:val="22"/>
              </w:rPr>
            </w:pPr>
          </w:p>
          <w:p w:rsidR="00AC598F" w:rsidRDefault="00AC598F">
            <w:pPr>
              <w:widowControl w:val="0"/>
              <w:suppressAutoHyphens/>
              <w:rPr>
                <w:rFonts w:ascii="Calibri" w:hAnsi="Calibri" w:cs="Arial"/>
                <w:sz w:val="22"/>
                <w:lang w:eastAsia="ar-SA"/>
              </w:rPr>
            </w:pPr>
            <w:r>
              <w:rPr>
                <w:rFonts w:ascii="Calibri" w:hAnsi="Calibri" w:cs="Arial"/>
                <w:sz w:val="22"/>
              </w:rPr>
              <w:t>Literature Circles</w:t>
            </w:r>
          </w:p>
        </w:tc>
        <w:tc>
          <w:tcPr>
            <w:tcW w:w="3168" w:type="dxa"/>
          </w:tcPr>
          <w:p w:rsidR="00AC598F" w:rsidRDefault="00AC598F">
            <w:pPr>
              <w:widowControl w:val="0"/>
              <w:suppressAutoHyphens/>
              <w:jc w:val="center"/>
              <w:rPr>
                <w:rFonts w:ascii="Calibri" w:hAnsi="Calibri" w:cs="Arial"/>
                <w:sz w:val="22"/>
                <w:lang w:eastAsia="ar-SA"/>
              </w:rPr>
            </w:pPr>
            <w:r>
              <w:rPr>
                <w:rFonts w:ascii="Calibri" w:hAnsi="Calibri" w:cs="Arial"/>
                <w:sz w:val="22"/>
              </w:rPr>
              <w:t>TIM</w:t>
            </w: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Pr="00DF60C6"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page" w:horzAnchor="margin" w:tblpY="1606"/>
        <w:tblW w:w="10185" w:type="dxa"/>
        <w:tblLayout w:type="fixed"/>
        <w:tblLook w:val="00A0" w:firstRow="1" w:lastRow="0" w:firstColumn="1" w:lastColumn="0" w:noHBand="0" w:noVBand="0"/>
      </w:tblPr>
      <w:tblGrid>
        <w:gridCol w:w="1530"/>
        <w:gridCol w:w="1003"/>
        <w:gridCol w:w="2303"/>
        <w:gridCol w:w="922"/>
        <w:gridCol w:w="1075"/>
        <w:gridCol w:w="1613"/>
        <w:gridCol w:w="1739"/>
      </w:tblGrid>
      <w:tr w:rsidR="00C5159D" w:rsidRPr="00C5159D" w:rsidTr="00C5159D">
        <w:trPr>
          <w:cnfStyle w:val="100000000000" w:firstRow="1" w:lastRow="0" w:firstColumn="0" w:lastColumn="0" w:oddVBand="0" w:evenVBand="0" w:oddHBand="0" w:evenHBand="0" w:firstRowFirstColumn="0" w:firstRowLastColumn="0" w:lastRowFirstColumn="0" w:lastRowLastColumn="0"/>
          <w:trHeight w:val="759"/>
        </w:trPr>
        <w:tc>
          <w:tcPr>
            <w:tcW w:w="1530" w:type="dxa"/>
            <w:vMerge w:val="restart"/>
          </w:tcPr>
          <w:p w:rsidR="00C5159D" w:rsidRPr="00C5159D" w:rsidRDefault="00C5159D" w:rsidP="00C5159D">
            <w:pPr>
              <w:rPr>
                <w:rFonts w:eastAsia="Calibri" w:cstheme="minorHAnsi"/>
                <w:sz w:val="22"/>
                <w:lang w:eastAsia="ar-SA"/>
              </w:rPr>
            </w:pPr>
            <w:r w:rsidRPr="00C5159D">
              <w:rPr>
                <w:rFonts w:eastAsia="Calibri" w:cstheme="minorHAnsi"/>
                <w:bCs/>
                <w:sz w:val="22"/>
              </w:rPr>
              <w:t>RED 4012</w:t>
            </w:r>
            <w:r w:rsidRPr="00C5159D">
              <w:rPr>
                <w:rFonts w:eastAsia="Calibri" w:cstheme="minorHAnsi"/>
                <w:sz w:val="22"/>
              </w:rPr>
              <w:t xml:space="preserve"> Foundations of Reading &amp; Literacy Development</w:t>
            </w: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widowControl w:val="0"/>
              <w:suppressAutoHyphens/>
              <w:rPr>
                <w:rFonts w:eastAsia="Calibri" w:cstheme="minorHAnsi"/>
                <w:sz w:val="22"/>
                <w:lang w:eastAsia="ar-SA"/>
              </w:rPr>
            </w:pPr>
          </w:p>
        </w:tc>
        <w:tc>
          <w:tcPr>
            <w:tcW w:w="1003" w:type="dxa"/>
            <w:vMerge w:val="restart"/>
          </w:tcPr>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rPr>
                <w:rFonts w:eastAsia="Calibri" w:cstheme="minorHAnsi"/>
                <w:sz w:val="22"/>
              </w:rPr>
            </w:pPr>
          </w:p>
          <w:p w:rsidR="00C5159D" w:rsidRPr="00C5159D" w:rsidRDefault="00C5159D" w:rsidP="00C5159D">
            <w:pPr>
              <w:widowControl w:val="0"/>
              <w:suppressAutoHyphens/>
              <w:rPr>
                <w:rFonts w:eastAsia="Calibri" w:cstheme="minorHAnsi"/>
                <w:sz w:val="22"/>
                <w:lang w:eastAsia="ar-SA"/>
              </w:rPr>
            </w:pPr>
          </w:p>
        </w:tc>
        <w:tc>
          <w:tcPr>
            <w:tcW w:w="2303"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Field Experience Showcase</w:t>
            </w:r>
          </w:p>
        </w:tc>
        <w:tc>
          <w:tcPr>
            <w:tcW w:w="922"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3b, 3e, 3f, 3g</w:t>
            </w:r>
          </w:p>
        </w:tc>
        <w:tc>
          <w:tcPr>
            <w:tcW w:w="1075" w:type="dxa"/>
            <w:hideMark/>
          </w:tcPr>
          <w:p w:rsidR="00C5159D" w:rsidRPr="00C5159D" w:rsidRDefault="00C5159D" w:rsidP="00C5159D">
            <w:pPr>
              <w:rPr>
                <w:rFonts w:eastAsia="Calibri" w:cstheme="minorHAnsi"/>
                <w:sz w:val="22"/>
                <w:lang w:eastAsia="ar-SA"/>
              </w:rPr>
            </w:pPr>
            <w:r w:rsidRPr="00C5159D">
              <w:rPr>
                <w:rFonts w:eastAsia="Calibri" w:cstheme="minorHAnsi"/>
                <w:sz w:val="22"/>
              </w:rPr>
              <w:t>1.C.6</w:t>
            </w:r>
          </w:p>
          <w:p w:rsidR="00C5159D" w:rsidRPr="00C5159D" w:rsidRDefault="00C5159D" w:rsidP="00C5159D">
            <w:pPr>
              <w:rPr>
                <w:rFonts w:eastAsia="Calibri" w:cstheme="minorHAnsi"/>
                <w:sz w:val="22"/>
              </w:rPr>
            </w:pPr>
            <w:r w:rsidRPr="00C5159D">
              <w:rPr>
                <w:rFonts w:eastAsia="Calibri" w:cstheme="minorHAnsi"/>
                <w:sz w:val="22"/>
              </w:rPr>
              <w:t>1.F.1</w:t>
            </w:r>
          </w:p>
          <w:p w:rsidR="00C5159D" w:rsidRPr="00C5159D" w:rsidRDefault="00C5159D" w:rsidP="00C5159D">
            <w:pPr>
              <w:rPr>
                <w:rFonts w:eastAsia="Calibri" w:cstheme="minorHAnsi"/>
                <w:sz w:val="22"/>
              </w:rPr>
            </w:pPr>
            <w:r w:rsidRPr="00C5159D">
              <w:rPr>
                <w:rFonts w:eastAsia="Calibri" w:cstheme="minorHAnsi"/>
                <w:sz w:val="22"/>
              </w:rPr>
              <w:t>2.B.4</w:t>
            </w:r>
          </w:p>
          <w:p w:rsidR="00C5159D" w:rsidRPr="00C5159D" w:rsidRDefault="00C5159D" w:rsidP="00C5159D">
            <w:pPr>
              <w:rPr>
                <w:rFonts w:eastAsia="Calibri" w:cstheme="minorHAnsi"/>
                <w:sz w:val="22"/>
              </w:rPr>
            </w:pPr>
            <w:r w:rsidRPr="00C5159D">
              <w:rPr>
                <w:rFonts w:eastAsia="Calibri" w:cstheme="minorHAnsi"/>
                <w:sz w:val="22"/>
              </w:rPr>
              <w:t>2.B.5</w:t>
            </w:r>
          </w:p>
          <w:p w:rsidR="00C5159D" w:rsidRPr="00C5159D" w:rsidRDefault="00C5159D" w:rsidP="00C5159D">
            <w:pPr>
              <w:rPr>
                <w:rFonts w:eastAsia="Calibri" w:cstheme="minorHAnsi"/>
                <w:sz w:val="22"/>
              </w:rPr>
            </w:pPr>
            <w:r w:rsidRPr="00C5159D">
              <w:rPr>
                <w:rFonts w:eastAsia="Calibri" w:cstheme="minorHAnsi"/>
                <w:sz w:val="22"/>
              </w:rPr>
              <w:t>2.C.1</w:t>
            </w:r>
          </w:p>
          <w:p w:rsidR="00C5159D" w:rsidRPr="00C5159D" w:rsidRDefault="00C5159D" w:rsidP="00C5159D">
            <w:pPr>
              <w:rPr>
                <w:rFonts w:eastAsia="Calibri" w:cstheme="minorHAnsi"/>
                <w:sz w:val="22"/>
              </w:rPr>
            </w:pPr>
            <w:r w:rsidRPr="00C5159D">
              <w:rPr>
                <w:rFonts w:eastAsia="Calibri" w:cstheme="minorHAnsi"/>
                <w:sz w:val="22"/>
              </w:rPr>
              <w:t>2.C.4</w:t>
            </w:r>
          </w:p>
          <w:p w:rsidR="00C5159D" w:rsidRPr="00C5159D" w:rsidRDefault="00C5159D" w:rsidP="00C5159D">
            <w:pPr>
              <w:rPr>
                <w:rFonts w:eastAsia="Calibri" w:cstheme="minorHAnsi"/>
                <w:sz w:val="22"/>
              </w:rPr>
            </w:pPr>
            <w:r w:rsidRPr="00C5159D">
              <w:rPr>
                <w:rFonts w:eastAsia="Calibri" w:cstheme="minorHAnsi"/>
                <w:sz w:val="22"/>
              </w:rPr>
              <w:t>2.C.5</w:t>
            </w:r>
          </w:p>
          <w:p w:rsidR="00C5159D" w:rsidRPr="00C5159D" w:rsidRDefault="00C5159D" w:rsidP="00C5159D">
            <w:pPr>
              <w:rPr>
                <w:rFonts w:eastAsia="Calibri" w:cstheme="minorHAnsi"/>
                <w:sz w:val="22"/>
              </w:rPr>
            </w:pPr>
            <w:r w:rsidRPr="00C5159D">
              <w:rPr>
                <w:rFonts w:eastAsia="Calibri" w:cstheme="minorHAnsi"/>
                <w:sz w:val="22"/>
              </w:rPr>
              <w:t>2.D.1</w:t>
            </w:r>
          </w:p>
          <w:p w:rsidR="00C5159D" w:rsidRPr="00C5159D" w:rsidRDefault="00C5159D" w:rsidP="00C5159D">
            <w:pPr>
              <w:rPr>
                <w:rFonts w:eastAsia="Calibri" w:cstheme="minorHAnsi"/>
                <w:sz w:val="22"/>
              </w:rPr>
            </w:pPr>
            <w:r w:rsidRPr="00C5159D">
              <w:rPr>
                <w:rFonts w:eastAsia="Calibri" w:cstheme="minorHAnsi"/>
                <w:sz w:val="22"/>
              </w:rPr>
              <w:t>2.F.1</w:t>
            </w:r>
          </w:p>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4.14</w:t>
            </w:r>
          </w:p>
        </w:tc>
        <w:tc>
          <w:tcPr>
            <w:tcW w:w="1613"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2.1.a, 2.1.b, 2.1.c, 2.3.a, 2.3.b, 2.3.a3.1.b, 3.2.a, 3.2.d, 3.2.e, 3.2.i, 3.2.k</w:t>
            </w:r>
          </w:p>
        </w:tc>
        <w:tc>
          <w:tcPr>
            <w:tcW w:w="1739"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1,2,6,8</w:t>
            </w:r>
          </w:p>
        </w:tc>
      </w:tr>
      <w:tr w:rsidR="00C5159D" w:rsidRPr="00C5159D" w:rsidTr="00C5159D">
        <w:trPr>
          <w:trHeight w:val="141"/>
        </w:trPr>
        <w:tc>
          <w:tcPr>
            <w:tcW w:w="1530" w:type="dxa"/>
            <w:vMerge/>
            <w:hideMark/>
          </w:tcPr>
          <w:p w:rsidR="00C5159D" w:rsidRPr="00C5159D" w:rsidRDefault="00C5159D" w:rsidP="00C5159D">
            <w:pPr>
              <w:rPr>
                <w:rFonts w:eastAsia="Calibri" w:cstheme="minorHAnsi"/>
                <w:sz w:val="22"/>
                <w:lang w:eastAsia="ar-SA"/>
              </w:rPr>
            </w:pPr>
          </w:p>
        </w:tc>
        <w:tc>
          <w:tcPr>
            <w:tcW w:w="1003" w:type="dxa"/>
            <w:vMerge/>
            <w:hideMark/>
          </w:tcPr>
          <w:p w:rsidR="00C5159D" w:rsidRPr="00C5159D" w:rsidRDefault="00C5159D" w:rsidP="00C5159D">
            <w:pPr>
              <w:rPr>
                <w:rFonts w:eastAsia="Calibri" w:cstheme="minorHAnsi"/>
                <w:sz w:val="22"/>
                <w:lang w:eastAsia="ar-SA"/>
              </w:rPr>
            </w:pPr>
          </w:p>
        </w:tc>
        <w:tc>
          <w:tcPr>
            <w:tcW w:w="2303" w:type="dxa"/>
            <w:hideMark/>
          </w:tcPr>
          <w:p w:rsidR="00C5159D" w:rsidRPr="00C5159D" w:rsidRDefault="00C5159D" w:rsidP="00C5159D">
            <w:pPr>
              <w:widowControl w:val="0"/>
              <w:suppressAutoHyphens/>
              <w:rPr>
                <w:rFonts w:eastAsia="Calibri" w:cstheme="minorHAnsi"/>
                <w:sz w:val="22"/>
              </w:rPr>
            </w:pPr>
            <w:r w:rsidRPr="00C5159D">
              <w:rPr>
                <w:rFonts w:eastAsia="Calibri" w:cstheme="minorHAnsi"/>
                <w:sz w:val="22"/>
              </w:rPr>
              <w:t>Guided Reading Journal</w:t>
            </w:r>
          </w:p>
        </w:tc>
        <w:tc>
          <w:tcPr>
            <w:tcW w:w="922"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5e, 5f</w:t>
            </w:r>
          </w:p>
        </w:tc>
        <w:tc>
          <w:tcPr>
            <w:tcW w:w="1075" w:type="dxa"/>
            <w:hideMark/>
          </w:tcPr>
          <w:p w:rsidR="00C5159D" w:rsidRPr="00C5159D" w:rsidRDefault="00C5159D" w:rsidP="00C5159D">
            <w:pPr>
              <w:rPr>
                <w:rFonts w:eastAsia="Calibri" w:cstheme="minorHAnsi"/>
                <w:sz w:val="22"/>
                <w:lang w:eastAsia="ar-SA"/>
              </w:rPr>
            </w:pPr>
            <w:r w:rsidRPr="00C5159D">
              <w:rPr>
                <w:rFonts w:eastAsia="Calibri" w:cstheme="minorHAnsi"/>
                <w:sz w:val="22"/>
              </w:rPr>
              <w:t>1.A.1</w:t>
            </w:r>
          </w:p>
          <w:p w:rsidR="00C5159D" w:rsidRPr="00C5159D" w:rsidRDefault="00C5159D" w:rsidP="00C5159D">
            <w:pPr>
              <w:rPr>
                <w:rFonts w:eastAsia="Calibri" w:cstheme="minorHAnsi"/>
                <w:sz w:val="22"/>
              </w:rPr>
            </w:pPr>
            <w:r w:rsidRPr="00C5159D">
              <w:rPr>
                <w:rFonts w:eastAsia="Calibri" w:cstheme="minorHAnsi"/>
                <w:sz w:val="22"/>
              </w:rPr>
              <w:t>1.A.2</w:t>
            </w:r>
          </w:p>
          <w:p w:rsidR="00C5159D" w:rsidRPr="00C5159D" w:rsidRDefault="00C5159D" w:rsidP="00C5159D">
            <w:pPr>
              <w:rPr>
                <w:rFonts w:eastAsia="Calibri" w:cstheme="minorHAnsi"/>
                <w:sz w:val="22"/>
              </w:rPr>
            </w:pPr>
            <w:r w:rsidRPr="00C5159D">
              <w:rPr>
                <w:rFonts w:eastAsia="Calibri" w:cstheme="minorHAnsi"/>
                <w:sz w:val="22"/>
              </w:rPr>
              <w:t>1.b.3</w:t>
            </w:r>
          </w:p>
          <w:p w:rsidR="00C5159D" w:rsidRPr="00C5159D" w:rsidRDefault="00C5159D" w:rsidP="00C5159D">
            <w:pPr>
              <w:rPr>
                <w:rFonts w:eastAsia="Calibri" w:cstheme="minorHAnsi"/>
                <w:sz w:val="22"/>
              </w:rPr>
            </w:pPr>
            <w:r w:rsidRPr="00C5159D">
              <w:rPr>
                <w:rFonts w:eastAsia="Calibri" w:cstheme="minorHAnsi"/>
                <w:sz w:val="22"/>
              </w:rPr>
              <w:t>1.C.1</w:t>
            </w:r>
          </w:p>
          <w:p w:rsidR="00C5159D" w:rsidRPr="00C5159D" w:rsidRDefault="00C5159D" w:rsidP="00C5159D">
            <w:pPr>
              <w:rPr>
                <w:rFonts w:eastAsia="Calibri" w:cstheme="minorHAnsi"/>
                <w:sz w:val="22"/>
              </w:rPr>
            </w:pPr>
            <w:r w:rsidRPr="00C5159D">
              <w:rPr>
                <w:rFonts w:eastAsia="Calibri" w:cstheme="minorHAnsi"/>
                <w:sz w:val="22"/>
              </w:rPr>
              <w:t>1.C.4</w:t>
            </w:r>
          </w:p>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1.D.1</w:t>
            </w:r>
          </w:p>
        </w:tc>
        <w:tc>
          <w:tcPr>
            <w:tcW w:w="1613" w:type="dxa"/>
          </w:tcPr>
          <w:p w:rsidR="00C5159D" w:rsidRPr="00C5159D" w:rsidRDefault="00C5159D" w:rsidP="00C5159D">
            <w:pPr>
              <w:widowControl w:val="0"/>
              <w:suppressAutoHyphens/>
              <w:rPr>
                <w:rFonts w:eastAsia="Calibri" w:cstheme="minorHAnsi"/>
                <w:sz w:val="22"/>
              </w:rPr>
            </w:pPr>
          </w:p>
        </w:tc>
        <w:tc>
          <w:tcPr>
            <w:tcW w:w="1739" w:type="dxa"/>
          </w:tcPr>
          <w:p w:rsidR="00C5159D" w:rsidRPr="00C5159D" w:rsidRDefault="00C5159D" w:rsidP="00C5159D">
            <w:pPr>
              <w:widowControl w:val="0"/>
              <w:suppressAutoHyphens/>
              <w:rPr>
                <w:rFonts w:eastAsia="Calibri" w:cstheme="minorHAnsi"/>
                <w:sz w:val="22"/>
              </w:rPr>
            </w:pPr>
          </w:p>
        </w:tc>
      </w:tr>
      <w:tr w:rsidR="00C5159D" w:rsidRPr="00C5159D" w:rsidTr="00C5159D">
        <w:trPr>
          <w:trHeight w:val="141"/>
        </w:trPr>
        <w:tc>
          <w:tcPr>
            <w:tcW w:w="1530" w:type="dxa"/>
            <w:vMerge/>
            <w:hideMark/>
          </w:tcPr>
          <w:p w:rsidR="00C5159D" w:rsidRPr="00C5159D" w:rsidRDefault="00C5159D" w:rsidP="00C5159D">
            <w:pPr>
              <w:rPr>
                <w:rFonts w:eastAsia="Calibri" w:cstheme="minorHAnsi"/>
                <w:sz w:val="22"/>
                <w:lang w:eastAsia="ar-SA"/>
              </w:rPr>
            </w:pPr>
          </w:p>
        </w:tc>
        <w:tc>
          <w:tcPr>
            <w:tcW w:w="1003" w:type="dxa"/>
            <w:vMerge/>
            <w:hideMark/>
          </w:tcPr>
          <w:p w:rsidR="00C5159D" w:rsidRPr="00C5159D" w:rsidRDefault="00C5159D" w:rsidP="00C5159D">
            <w:pPr>
              <w:rPr>
                <w:rFonts w:eastAsia="Calibri" w:cstheme="minorHAnsi"/>
                <w:sz w:val="22"/>
                <w:lang w:eastAsia="ar-SA"/>
              </w:rPr>
            </w:pPr>
          </w:p>
        </w:tc>
        <w:tc>
          <w:tcPr>
            <w:tcW w:w="2303" w:type="dxa"/>
            <w:hideMark/>
          </w:tcPr>
          <w:p w:rsidR="00C5159D" w:rsidRPr="00C5159D" w:rsidRDefault="00C5159D" w:rsidP="00C5159D">
            <w:pPr>
              <w:widowControl w:val="0"/>
              <w:suppressAutoHyphens/>
              <w:rPr>
                <w:rFonts w:eastAsia="Calibri" w:cstheme="minorHAnsi"/>
                <w:sz w:val="22"/>
              </w:rPr>
            </w:pPr>
            <w:r w:rsidRPr="00C5159D">
              <w:rPr>
                <w:rFonts w:eastAsia="Calibri" w:cstheme="minorHAnsi"/>
                <w:sz w:val="22"/>
              </w:rPr>
              <w:t>Lesson Plans</w:t>
            </w:r>
          </w:p>
        </w:tc>
        <w:tc>
          <w:tcPr>
            <w:tcW w:w="922"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1a, 1b, 1c</w:t>
            </w:r>
          </w:p>
        </w:tc>
        <w:tc>
          <w:tcPr>
            <w:tcW w:w="1075"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1.A.5, 1.B.1, 2.B.2, 2.F.2, 2.F.3, 2.F.7, 4.6, 4.10, 4.12, 4.13, 4.16, 4.18, 4.19</w:t>
            </w:r>
          </w:p>
        </w:tc>
        <w:tc>
          <w:tcPr>
            <w:tcW w:w="1613" w:type="dxa"/>
          </w:tcPr>
          <w:p w:rsidR="00C5159D" w:rsidRPr="00C5159D" w:rsidRDefault="00C5159D" w:rsidP="00C5159D">
            <w:pPr>
              <w:widowControl w:val="0"/>
              <w:suppressAutoHyphens/>
              <w:rPr>
                <w:rFonts w:eastAsia="Calibri" w:cstheme="minorHAnsi"/>
                <w:sz w:val="22"/>
              </w:rPr>
            </w:pPr>
          </w:p>
        </w:tc>
        <w:tc>
          <w:tcPr>
            <w:tcW w:w="1739" w:type="dxa"/>
          </w:tcPr>
          <w:p w:rsidR="00C5159D" w:rsidRPr="00C5159D" w:rsidRDefault="00C5159D" w:rsidP="00C5159D">
            <w:pPr>
              <w:widowControl w:val="0"/>
              <w:suppressAutoHyphens/>
              <w:rPr>
                <w:rFonts w:eastAsia="Calibri" w:cstheme="minorHAnsi"/>
                <w:sz w:val="22"/>
              </w:rPr>
            </w:pPr>
          </w:p>
        </w:tc>
      </w:tr>
      <w:tr w:rsidR="00C5159D" w:rsidRPr="00C5159D" w:rsidTr="00C5159D">
        <w:trPr>
          <w:trHeight w:val="141"/>
        </w:trPr>
        <w:tc>
          <w:tcPr>
            <w:tcW w:w="1530" w:type="dxa"/>
            <w:vMerge/>
            <w:hideMark/>
          </w:tcPr>
          <w:p w:rsidR="00C5159D" w:rsidRPr="00C5159D" w:rsidRDefault="00C5159D" w:rsidP="00C5159D">
            <w:pPr>
              <w:rPr>
                <w:rFonts w:eastAsia="Calibri" w:cstheme="minorHAnsi"/>
                <w:sz w:val="22"/>
                <w:lang w:eastAsia="ar-SA"/>
              </w:rPr>
            </w:pPr>
          </w:p>
        </w:tc>
        <w:tc>
          <w:tcPr>
            <w:tcW w:w="1003" w:type="dxa"/>
            <w:vMerge/>
            <w:hideMark/>
          </w:tcPr>
          <w:p w:rsidR="00C5159D" w:rsidRPr="00C5159D" w:rsidRDefault="00C5159D" w:rsidP="00C5159D">
            <w:pPr>
              <w:rPr>
                <w:rFonts w:eastAsia="Calibri" w:cstheme="minorHAnsi"/>
                <w:sz w:val="22"/>
                <w:lang w:eastAsia="ar-SA"/>
              </w:rPr>
            </w:pPr>
          </w:p>
        </w:tc>
        <w:tc>
          <w:tcPr>
            <w:tcW w:w="2303" w:type="dxa"/>
            <w:hideMark/>
          </w:tcPr>
          <w:p w:rsidR="00C5159D" w:rsidRPr="00C5159D" w:rsidRDefault="00C5159D" w:rsidP="00C5159D">
            <w:pPr>
              <w:widowControl w:val="0"/>
              <w:suppressAutoHyphens/>
              <w:rPr>
                <w:rFonts w:eastAsia="Calibri" w:cstheme="minorHAnsi"/>
                <w:sz w:val="22"/>
              </w:rPr>
            </w:pPr>
            <w:r w:rsidRPr="00C5159D">
              <w:rPr>
                <w:rFonts w:eastAsia="Calibri" w:cstheme="minorHAnsi"/>
                <w:sz w:val="22"/>
              </w:rPr>
              <w:t>Simulated Teaching</w:t>
            </w:r>
          </w:p>
        </w:tc>
        <w:tc>
          <w:tcPr>
            <w:tcW w:w="922"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3a, 3f, 3h, 3i</w:t>
            </w:r>
          </w:p>
        </w:tc>
        <w:tc>
          <w:tcPr>
            <w:tcW w:w="1075" w:type="dxa"/>
            <w:hideMark/>
          </w:tcPr>
          <w:p w:rsidR="00C5159D" w:rsidRPr="00C5159D" w:rsidRDefault="00C5159D" w:rsidP="00C5159D">
            <w:pPr>
              <w:rPr>
                <w:rFonts w:eastAsia="Calibri" w:cstheme="minorHAnsi"/>
                <w:sz w:val="22"/>
                <w:lang w:eastAsia="ar-SA"/>
              </w:rPr>
            </w:pPr>
            <w:r w:rsidRPr="00C5159D">
              <w:rPr>
                <w:rFonts w:eastAsia="Calibri" w:cstheme="minorHAnsi"/>
                <w:sz w:val="22"/>
              </w:rPr>
              <w:t>2.A.8, 2.C.2</w:t>
            </w:r>
          </w:p>
          <w:p w:rsidR="00C5159D" w:rsidRPr="00C5159D" w:rsidRDefault="00C5159D" w:rsidP="00C5159D">
            <w:pPr>
              <w:rPr>
                <w:rFonts w:eastAsia="Calibri" w:cstheme="minorHAnsi"/>
                <w:sz w:val="22"/>
              </w:rPr>
            </w:pPr>
            <w:r w:rsidRPr="00C5159D">
              <w:rPr>
                <w:rFonts w:eastAsia="Calibri" w:cstheme="minorHAnsi"/>
                <w:sz w:val="22"/>
              </w:rPr>
              <w:t>2.G.1</w:t>
            </w:r>
          </w:p>
          <w:p w:rsidR="00C5159D" w:rsidRPr="00C5159D" w:rsidRDefault="00C5159D" w:rsidP="00C5159D">
            <w:pPr>
              <w:rPr>
                <w:rFonts w:eastAsia="Calibri" w:cstheme="minorHAnsi"/>
                <w:sz w:val="22"/>
              </w:rPr>
            </w:pPr>
            <w:r w:rsidRPr="00C5159D">
              <w:rPr>
                <w:rFonts w:eastAsia="Calibri" w:cstheme="minorHAnsi"/>
                <w:sz w:val="22"/>
              </w:rPr>
              <w:t>2.G.3</w:t>
            </w:r>
          </w:p>
          <w:p w:rsidR="00C5159D" w:rsidRPr="00C5159D" w:rsidRDefault="00C5159D" w:rsidP="00C5159D">
            <w:pPr>
              <w:rPr>
                <w:rFonts w:eastAsia="Calibri" w:cstheme="minorHAnsi"/>
                <w:sz w:val="22"/>
              </w:rPr>
            </w:pPr>
            <w:r w:rsidRPr="00C5159D">
              <w:rPr>
                <w:rFonts w:eastAsia="Calibri" w:cstheme="minorHAnsi"/>
                <w:sz w:val="22"/>
              </w:rPr>
              <w:t>4.11</w:t>
            </w:r>
          </w:p>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4.15</w:t>
            </w:r>
          </w:p>
        </w:tc>
        <w:tc>
          <w:tcPr>
            <w:tcW w:w="1613" w:type="dxa"/>
          </w:tcPr>
          <w:p w:rsidR="00C5159D" w:rsidRPr="00C5159D" w:rsidRDefault="00C5159D" w:rsidP="00C5159D">
            <w:pPr>
              <w:widowControl w:val="0"/>
              <w:suppressAutoHyphens/>
              <w:rPr>
                <w:rFonts w:eastAsia="Calibri" w:cstheme="minorHAnsi"/>
                <w:sz w:val="22"/>
              </w:rPr>
            </w:pPr>
          </w:p>
        </w:tc>
        <w:tc>
          <w:tcPr>
            <w:tcW w:w="1739" w:type="dxa"/>
          </w:tcPr>
          <w:p w:rsidR="00C5159D" w:rsidRPr="00C5159D" w:rsidRDefault="00C5159D" w:rsidP="00C5159D">
            <w:pPr>
              <w:widowControl w:val="0"/>
              <w:suppressAutoHyphens/>
              <w:rPr>
                <w:rFonts w:eastAsia="Calibri" w:cstheme="minorHAnsi"/>
                <w:sz w:val="22"/>
              </w:rPr>
            </w:pPr>
          </w:p>
        </w:tc>
      </w:tr>
      <w:tr w:rsidR="00C5159D" w:rsidRPr="00C5159D" w:rsidTr="00C5159D">
        <w:trPr>
          <w:trHeight w:val="141"/>
        </w:trPr>
        <w:tc>
          <w:tcPr>
            <w:tcW w:w="1530" w:type="dxa"/>
            <w:vMerge/>
            <w:hideMark/>
          </w:tcPr>
          <w:p w:rsidR="00C5159D" w:rsidRPr="00C5159D" w:rsidRDefault="00C5159D" w:rsidP="00C5159D">
            <w:pPr>
              <w:rPr>
                <w:rFonts w:eastAsia="Calibri" w:cstheme="minorHAnsi"/>
                <w:sz w:val="22"/>
                <w:lang w:eastAsia="ar-SA"/>
              </w:rPr>
            </w:pPr>
          </w:p>
        </w:tc>
        <w:tc>
          <w:tcPr>
            <w:tcW w:w="1003" w:type="dxa"/>
            <w:vMerge/>
            <w:hideMark/>
          </w:tcPr>
          <w:p w:rsidR="00C5159D" w:rsidRPr="00C5159D" w:rsidRDefault="00C5159D" w:rsidP="00C5159D">
            <w:pPr>
              <w:rPr>
                <w:rFonts w:eastAsia="Calibri" w:cstheme="minorHAnsi"/>
                <w:sz w:val="22"/>
                <w:lang w:eastAsia="ar-SA"/>
              </w:rPr>
            </w:pPr>
          </w:p>
        </w:tc>
        <w:tc>
          <w:tcPr>
            <w:tcW w:w="2303" w:type="dxa"/>
            <w:hideMark/>
          </w:tcPr>
          <w:p w:rsidR="00C5159D" w:rsidRPr="00C5159D" w:rsidRDefault="00C5159D" w:rsidP="00C5159D">
            <w:pPr>
              <w:widowControl w:val="0"/>
              <w:suppressAutoHyphens/>
              <w:rPr>
                <w:rFonts w:eastAsia="Calibri" w:cstheme="minorHAnsi"/>
                <w:sz w:val="22"/>
                <w:highlight w:val="yellow"/>
              </w:rPr>
            </w:pPr>
            <w:r w:rsidRPr="00C5159D">
              <w:rPr>
                <w:rFonts w:eastAsia="Calibri" w:cstheme="minorHAnsi"/>
                <w:sz w:val="22"/>
              </w:rPr>
              <w:t>Literature Circles</w:t>
            </w:r>
          </w:p>
        </w:tc>
        <w:tc>
          <w:tcPr>
            <w:tcW w:w="922" w:type="dxa"/>
            <w:hideMark/>
          </w:tcPr>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5e</w:t>
            </w:r>
          </w:p>
        </w:tc>
        <w:tc>
          <w:tcPr>
            <w:tcW w:w="1075" w:type="dxa"/>
            <w:hideMark/>
          </w:tcPr>
          <w:p w:rsidR="00C5159D" w:rsidRPr="00C5159D" w:rsidRDefault="00C5159D" w:rsidP="00C5159D">
            <w:pPr>
              <w:rPr>
                <w:rFonts w:eastAsia="Calibri" w:cstheme="minorHAnsi"/>
                <w:sz w:val="22"/>
                <w:lang w:eastAsia="ar-SA"/>
              </w:rPr>
            </w:pPr>
            <w:r w:rsidRPr="00C5159D">
              <w:rPr>
                <w:rFonts w:eastAsia="Calibri" w:cstheme="minorHAnsi"/>
                <w:sz w:val="22"/>
              </w:rPr>
              <w:t>2.A.2</w:t>
            </w:r>
          </w:p>
          <w:p w:rsidR="00C5159D" w:rsidRPr="00C5159D" w:rsidRDefault="00C5159D" w:rsidP="00C5159D">
            <w:pPr>
              <w:widowControl w:val="0"/>
              <w:suppressAutoHyphens/>
              <w:rPr>
                <w:rFonts w:eastAsia="Calibri" w:cstheme="minorHAnsi"/>
                <w:sz w:val="22"/>
                <w:lang w:eastAsia="ar-SA"/>
              </w:rPr>
            </w:pPr>
            <w:r w:rsidRPr="00C5159D">
              <w:rPr>
                <w:rFonts w:eastAsia="Calibri" w:cstheme="minorHAnsi"/>
                <w:sz w:val="22"/>
              </w:rPr>
              <w:t>2.A.4</w:t>
            </w:r>
          </w:p>
        </w:tc>
        <w:tc>
          <w:tcPr>
            <w:tcW w:w="1613" w:type="dxa"/>
          </w:tcPr>
          <w:p w:rsidR="00C5159D" w:rsidRPr="00C5159D" w:rsidRDefault="00C5159D" w:rsidP="00C5159D">
            <w:pPr>
              <w:widowControl w:val="0"/>
              <w:suppressAutoHyphens/>
              <w:rPr>
                <w:rFonts w:eastAsia="Calibri" w:cstheme="minorHAnsi"/>
                <w:sz w:val="22"/>
              </w:rPr>
            </w:pPr>
          </w:p>
        </w:tc>
        <w:tc>
          <w:tcPr>
            <w:tcW w:w="1739" w:type="dxa"/>
          </w:tcPr>
          <w:p w:rsidR="00C5159D" w:rsidRPr="00C5159D" w:rsidRDefault="00C5159D" w:rsidP="00C5159D">
            <w:pPr>
              <w:widowControl w:val="0"/>
              <w:suppressAutoHyphens/>
              <w:rPr>
                <w:rFonts w:eastAsia="Calibri" w:cstheme="minorHAnsi"/>
                <w:sz w:val="22"/>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bookmarkStart w:id="0" w:name="_GoBack"/>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5159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C5159D"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5159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C5159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5159D"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5159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B4A2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B4A2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B4A2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B4A2B"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3316D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B4A2B"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6C40A5">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E6E2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B4A2B" w:rsidRPr="00451983">
          <w:rPr>
            <w:sz w:val="16"/>
          </w:rPr>
          <w:fldChar w:fldCharType="begin"/>
        </w:r>
        <w:r w:rsidRPr="00451983">
          <w:rPr>
            <w:sz w:val="16"/>
          </w:rPr>
          <w:instrText xml:space="preserve"> PAGE   \* MERGEFORMAT </w:instrText>
        </w:r>
        <w:r w:rsidR="00AB4A2B" w:rsidRPr="00451983">
          <w:rPr>
            <w:sz w:val="16"/>
          </w:rPr>
          <w:fldChar w:fldCharType="separate"/>
        </w:r>
        <w:r w:rsidR="00C5159D">
          <w:rPr>
            <w:noProof/>
            <w:sz w:val="16"/>
          </w:rPr>
          <w:t>5</w:t>
        </w:r>
        <w:r w:rsidR="00AB4A2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16D2"/>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27C53"/>
    <w:rsid w:val="00634272"/>
    <w:rsid w:val="00647A07"/>
    <w:rsid w:val="00685810"/>
    <w:rsid w:val="006A4707"/>
    <w:rsid w:val="006B3626"/>
    <w:rsid w:val="006C40A5"/>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4A2B"/>
    <w:rsid w:val="00AB7E7E"/>
    <w:rsid w:val="00AC598F"/>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5159D"/>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E6E24"/>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semiHidden/>
    <w:unhideWhenUsed/>
    <w:rsid w:val="00AC5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6947">
      <w:bodyDiv w:val="1"/>
      <w:marLeft w:val="0"/>
      <w:marRight w:val="0"/>
      <w:marTop w:val="0"/>
      <w:marBottom w:val="0"/>
      <w:divBdr>
        <w:top w:val="none" w:sz="0" w:space="0" w:color="auto"/>
        <w:left w:val="none" w:sz="0" w:space="0" w:color="auto"/>
        <w:bottom w:val="none" w:sz="0" w:space="0" w:color="auto"/>
        <w:right w:val="none" w:sz="0" w:space="0" w:color="auto"/>
      </w:divBdr>
    </w:div>
    <w:div w:id="13663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CF513A"/>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79CF-D365-48F3-BC87-73E2628F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2013-01-05T00:52:00Z</dcterms:created>
  <dcterms:modified xsi:type="dcterms:W3CDTF">2013-04-10T14:47:00Z</dcterms:modified>
</cp:coreProperties>
</file>