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B53006">
            <w:rPr>
              <w:caps/>
            </w:rPr>
            <w:t>AS HEALTH INFORMATION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415244">
            <w:rPr>
              <w:caps/>
            </w:rPr>
            <w:t>DEBORAH HOWARD</w:t>
          </w:r>
          <w:r w:rsidR="00415244">
            <w:rPr>
              <w:caps/>
            </w:rPr>
            <w:tab/>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415244">
            <w:rPr>
              <w:caps/>
            </w:rPr>
            <w:t>DEBORAH HOWARD</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415244"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B53006">
            <w:rPr>
              <w:caps/>
            </w:rPr>
            <w:t>health information</w:t>
          </w:r>
          <w:r w:rsidR="006A1264">
            <w:rPr>
              <w:caps/>
            </w:rPr>
            <w:t xml:space="preserve">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15244"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415244"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415244"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415244"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415244"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415244">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415244">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415244">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15244"/>
    <w:rsid w:val="004468B7"/>
    <w:rsid w:val="0045617C"/>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1264"/>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6327A"/>
    <w:rsid w:val="0098707D"/>
    <w:rsid w:val="009B1DF4"/>
    <w:rsid w:val="00A75E3A"/>
    <w:rsid w:val="00A87420"/>
    <w:rsid w:val="00AB3393"/>
    <w:rsid w:val="00AC3486"/>
    <w:rsid w:val="00AE7DC8"/>
    <w:rsid w:val="00AF15F3"/>
    <w:rsid w:val="00B11D07"/>
    <w:rsid w:val="00B1252B"/>
    <w:rsid w:val="00B361AB"/>
    <w:rsid w:val="00B53006"/>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0145-EEF1-42B0-A1D8-01D68E61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9</cp:revision>
  <cp:lastPrinted>2010-08-26T00:38:00Z</cp:lastPrinted>
  <dcterms:created xsi:type="dcterms:W3CDTF">2013-02-28T15:31:00Z</dcterms:created>
  <dcterms:modified xsi:type="dcterms:W3CDTF">2013-03-01T22:26:00Z</dcterms:modified>
</cp:coreProperties>
</file>