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465EDD"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90046">
                  <w:rPr>
                    <w:caps/>
                  </w:rPr>
                  <w:t>School of Business and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465EDD"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A90046">
                  <w:rPr>
                    <w:caps/>
                  </w:rPr>
                  <w:t>AS ACCOUNTING TECHNOLOGY</w:t>
                </w:r>
                <w:r w:rsidR="008F0250">
                  <w:rPr>
                    <w:caps/>
                  </w:rPr>
                  <w:t>; CCC accounting technology management</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465EDD" w:rsidP="00A90046">
            <w:pPr>
              <w:tabs>
                <w:tab w:val="left" w:pos="1800"/>
              </w:tabs>
              <w:spacing w:after="120"/>
              <w:rPr>
                <w:caps/>
              </w:rPr>
            </w:pPr>
            <w:sdt>
              <w:sdtPr>
                <w:rPr>
                  <w:caps/>
                </w:rPr>
                <w:id w:val="706025687"/>
                <w:placeholder>
                  <w:docPart w:val="5B620834317149D6BC3C41CF3D08163B"/>
                </w:placeholder>
              </w:sdtPr>
              <w:sdtEndPr/>
              <w:sdtContent>
                <w:r w:rsidR="00A90046">
                  <w:rPr>
                    <w:caps/>
                  </w:rPr>
                  <w:t>william van glabek</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465EDD" w:rsidP="00A90046">
            <w:pPr>
              <w:tabs>
                <w:tab w:val="left" w:pos="1800"/>
              </w:tabs>
              <w:spacing w:after="120"/>
              <w:rPr>
                <w:caps/>
              </w:rPr>
            </w:pPr>
            <w:sdt>
              <w:sdtPr>
                <w:rPr>
                  <w:caps/>
                </w:rPr>
                <w:id w:val="250390030"/>
                <w:placeholder>
                  <w:docPart w:val="55735D7FD7DF4944BBA0C8A4644F483F"/>
                </w:placeholder>
              </w:sdtPr>
              <w:sdtEndPr/>
              <w:sdtContent>
                <w:r w:rsidR="00A90046">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465EDD" w:rsidP="00CC3C8D">
            <w:pPr>
              <w:tabs>
                <w:tab w:val="left" w:pos="1800"/>
              </w:tabs>
              <w:spacing w:after="120"/>
              <w:rPr>
                <w:caps/>
              </w:rPr>
            </w:pPr>
            <w:sdt>
              <w:sdtPr>
                <w:rPr>
                  <w:caps/>
                </w:rPr>
                <w:id w:val="706025672"/>
                <w:placeholder>
                  <w:docPart w:val="97667FCDEFBA4D66A966C10AEC6C6D3B"/>
                </w:placeholder>
                <w:date w:fullDate="2013-12-30T00:00:00Z">
                  <w:dateFormat w:val="M/d/yyyy"/>
                  <w:lid w:val="en-US"/>
                  <w:storeMappedDataAs w:val="dateTime"/>
                  <w:calendar w:val="gregorian"/>
                </w:date>
              </w:sdtPr>
              <w:sdtEndPr/>
              <w:sdtContent>
                <w:r w:rsidR="00A90046">
                  <w:rPr>
                    <w:caps/>
                  </w:rPr>
                  <w:t>12/30/2013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465EDD" w:rsidP="00A90046">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A90046">
                  <w:rPr>
                    <w:rStyle w:val="FormStyle"/>
                    <w:caps/>
                  </w:rPr>
                  <w:t>acg 2021, Financial accounting</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465EDD" w:rsidP="008F0250">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8F0250">
                  <w:rPr>
                    <w:caps/>
                  </w:rPr>
                  <w:t>accounting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465EDD" w:rsidP="00FC746B">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FC746B">
                  <w:rPr>
                    <w:caps/>
                  </w:rPr>
                  <w:t>n/a</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465EDD"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FC746B">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465EDD" w:rsidP="008F025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8F0250">
                  <w:rPr>
                    <w:caps/>
                  </w:rPr>
                  <w:t>N/a</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465EDD" w:rsidP="008F0250">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8F0250">
                  <w:rPr>
                    <w:caps/>
                  </w:rPr>
                  <w:t>n/a</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proofErr w:type="gramStart"/>
            <w:r w:rsidRPr="007E6371">
              <w:rPr>
                <w:caps/>
              </w:rPr>
              <w:t>IS ANY COREQUISITE LISTED</w:t>
            </w:r>
            <w:proofErr w:type="gramEnd"/>
            <w:r w:rsidRPr="007E6371">
              <w:rPr>
                <w:caps/>
              </w:rPr>
              <w:t xml:space="preserve">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465EDD"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8F0250">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465EDD" w:rsidP="008F0250">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8F0250">
                  <w:rPr>
                    <w:caps/>
                  </w:rPr>
                  <w:t>3 semester credits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465EDD"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8F0250">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465EDD" w:rsidP="008F0250">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8F0250">
                  <w:rPr>
                    <w:caps/>
                  </w:rPr>
                  <w:t>3</w:t>
                </w:r>
              </w:sdtContent>
            </w:sdt>
          </w:p>
        </w:tc>
      </w:tr>
      <w:tr w:rsidR="00DC7C5A" w:rsidRPr="00DC7C5A" w:rsidTr="0058655A">
        <w:tc>
          <w:tcPr>
            <w:tcW w:w="9864" w:type="dxa"/>
            <w:gridSpan w:val="2"/>
          </w:tcPr>
          <w:p w:rsidR="00DC7C5A" w:rsidRPr="008F0250" w:rsidRDefault="00DC7C5A" w:rsidP="008F0250">
            <w:pPr>
              <w:tabs>
                <w:tab w:val="left" w:pos="4140"/>
              </w:tabs>
              <w:spacing w:line="360" w:lineRule="auto"/>
              <w:rPr>
                <w:caps/>
              </w:rPr>
            </w:pPr>
            <w:r w:rsidRPr="00DC7C5A">
              <w:rPr>
                <w:caps/>
              </w:rPr>
              <w:t>COURSE DESCRIPTION:</w:t>
            </w:r>
          </w:p>
        </w:tc>
      </w:tr>
      <w:tr w:rsidR="00DC7C5A" w:rsidRPr="00DC7C5A" w:rsidTr="009F43C4">
        <w:tc>
          <w:tcPr>
            <w:tcW w:w="9864" w:type="dxa"/>
            <w:gridSpan w:val="2"/>
          </w:tcPr>
          <w:sdt>
            <w:sdtPr>
              <w:id w:val="250390127"/>
              <w:placeholder>
                <w:docPart w:val="929E876F86C045F3A499DA14E85B0FEB"/>
              </w:placeholder>
            </w:sdtPr>
            <w:sdtEndPr/>
            <w:sdtContent>
              <w:p w:rsidR="00465EDD" w:rsidRDefault="008F0250" w:rsidP="009E1EB6">
                <w:pPr>
                  <w:tabs>
                    <w:tab w:val="left" w:pos="3690"/>
                  </w:tabs>
                  <w:spacing w:after="120" w:line="360" w:lineRule="auto"/>
                  <w:ind w:right="-90"/>
                </w:pPr>
                <w:r>
                  <w:t xml:space="preserve">Students </w:t>
                </w:r>
                <w:proofErr w:type="gramStart"/>
                <w:r>
                  <w:t>are introduced</w:t>
                </w:r>
                <w:proofErr w:type="gramEnd"/>
                <w:r>
                  <w:t xml:space="preserve"> to the field of Financial Accounting</w:t>
                </w:r>
                <w:r w:rsidR="009E1EB6">
                  <w:t xml:space="preserve"> for sole proprietorships, partnerships, and corporations. The course emphasizes the recording and analysis of business transactions and the study of the accounting cycle. Topics include accrual-based accounting concepts, internal controls, and financial statement preparation. Ethical accounting practices and their importance </w:t>
                </w:r>
                <w:proofErr w:type="gramStart"/>
                <w:r w:rsidR="009E1EB6">
                  <w:t>are embedded</w:t>
                </w:r>
                <w:proofErr w:type="gramEnd"/>
                <w:r w:rsidR="009E1EB6">
                  <w:t xml:space="preserve"> throughout the course. </w:t>
                </w:r>
              </w:p>
              <w:p w:rsidR="00465EDD" w:rsidRDefault="00465EDD" w:rsidP="00465EDD">
                <w:r>
                  <w:t xml:space="preserve">This course meets the requirements of the AS Accounting Technology degree, the Accounting Technology Management Certificate, the AS Business Administration and Management degree, the Small Business Management Certificate, and/or the Business Development and Entrepreneurship Certificate; </w:t>
                </w:r>
                <w:proofErr w:type="gramStart"/>
                <w:r>
                  <w:t>it is also accepted by the State University System</w:t>
                </w:r>
                <w:proofErr w:type="gramEnd"/>
                <w:r>
                  <w:t xml:space="preserve"> for transfer.</w:t>
                </w:r>
                <w:r w:rsidRPr="00937FA6">
                  <w:t xml:space="preserve"> </w:t>
                </w:r>
                <w:r>
                  <w:t>Credit is not given for both ACG 1001/ACG 2011 and ACG 2021.</w:t>
                </w:r>
                <w:bookmarkStart w:id="0" w:name="_GoBack"/>
                <w:bookmarkEnd w:id="0"/>
              </w:p>
              <w:p w:rsidR="00DC7C5A" w:rsidRPr="00DC7C5A" w:rsidRDefault="00465EDD" w:rsidP="009E1EB6">
                <w:pPr>
                  <w:tabs>
                    <w:tab w:val="left" w:pos="3690"/>
                  </w:tabs>
                  <w:spacing w:after="120" w:line="360" w:lineRule="auto"/>
                  <w:ind w:right="-90"/>
                  <w:rPr>
                    <w:caps/>
                    <w:u w:val="single"/>
                  </w:rPr>
                </w:pPr>
              </w:p>
            </w:sdtContent>
          </w:sdt>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IDENTIFY THE ACCOUNTING EQUATION. </w:t>
                </w:r>
              </w:p>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UTILIZE DEBITING AND CREDITING TO MAKE GENERAL JOURNAL ENTRIES. </w:t>
                </w:r>
              </w:p>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APPLY THE ACCOUNTING CYCLE TO CREATE ENTRIES IN FINANCIAL ACCOUNTS. </w:t>
                </w:r>
              </w:p>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ACCOUNT FOR A MERCHANDISING OPERATION, INCLUDING CALCULATION OF COST OF GOODS SOLD, DEPRECIATION AND THE PREPARATION OF A MULTI-STEP INCOME STATEMENT. </w:t>
                </w:r>
              </w:p>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DETERMINE THE ENDING INVENTORY VALUES UNDER VARIOUS ASSUMPTIONS  </w:t>
                </w:r>
              </w:p>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APPLY THE OBJECTIVES AND ELEMENTS OF INTERNAL CONTROLS. </w:t>
                </w:r>
              </w:p>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APPLY ACCOUNTING FOR UNCOLLECTIBLE RECEIVABLES. </w:t>
                </w:r>
              </w:p>
              <w:p w:rsidR="00843CEA" w:rsidRPr="00596EAE" w:rsidRDefault="00843CEA" w:rsidP="00843CEA">
                <w:pPr>
                  <w:pStyle w:val="ListParagraph"/>
                  <w:numPr>
                    <w:ilvl w:val="0"/>
                    <w:numId w:val="4"/>
                  </w:numPr>
                  <w:rPr>
                    <w:rFonts w:ascii="Calibri" w:hAnsi="Calibri"/>
                    <w:color w:val="000000"/>
                    <w:szCs w:val="20"/>
                  </w:rPr>
                </w:pPr>
                <w:r w:rsidRPr="00596EAE">
                  <w:rPr>
                    <w:rFonts w:ascii="Calibri" w:hAnsi="Calibri"/>
                    <w:color w:val="000000"/>
                    <w:szCs w:val="20"/>
                  </w:rPr>
                  <w:t xml:space="preserve">DETERMINE THE PROPER VALUATION AND PRESENTATION OF CURRENT AND NON-CURRENT ASSETS, CURRENT AND LONG-TERM LIABILITIES, AND STOCKHOLDERS' EQUITY TO PREPARE A BALANCE SHEET. </w:t>
                </w:r>
              </w:p>
              <w:p w:rsidR="00843CEA" w:rsidRPr="00596EAE" w:rsidRDefault="00843CEA" w:rsidP="00843CEA">
                <w:pPr>
                  <w:pStyle w:val="ListParagraph"/>
                  <w:numPr>
                    <w:ilvl w:val="0"/>
                    <w:numId w:val="4"/>
                  </w:numPr>
                  <w:rPr>
                    <w:rFonts w:ascii="Calibri" w:hAnsi="Calibri"/>
                    <w:color w:val="000000"/>
                    <w:szCs w:val="20"/>
                  </w:rPr>
                </w:pPr>
                <w:proofErr w:type="gramStart"/>
                <w:r w:rsidRPr="00596EAE">
                  <w:rPr>
                    <w:rFonts w:ascii="Calibri" w:hAnsi="Calibri"/>
                    <w:color w:val="000000"/>
                    <w:szCs w:val="20"/>
                  </w:rPr>
                  <w:t>VALUING AND REPORT INVESTMENTS IN FINANCIAL STATEMENTS.</w:t>
                </w:r>
                <w:proofErr w:type="gramEnd"/>
                <w:r w:rsidRPr="00596EAE">
                  <w:rPr>
                    <w:rFonts w:ascii="Calibri" w:hAnsi="Calibri"/>
                    <w:color w:val="000000"/>
                    <w:szCs w:val="20"/>
                  </w:rPr>
                  <w:t xml:space="preserve"> </w:t>
                </w:r>
              </w:p>
              <w:p w:rsidR="00843CEA" w:rsidRPr="00596EAE" w:rsidRDefault="00843CEA" w:rsidP="00843CEA">
                <w:pPr>
                  <w:pStyle w:val="ListParagraph"/>
                  <w:numPr>
                    <w:ilvl w:val="0"/>
                    <w:numId w:val="4"/>
                  </w:numPr>
                  <w:rPr>
                    <w:rFonts w:ascii="Calibri" w:hAnsi="Calibri"/>
                    <w:sz w:val="24"/>
                    <w:szCs w:val="24"/>
                  </w:rPr>
                </w:pPr>
                <w:r w:rsidRPr="00596EAE">
                  <w:rPr>
                    <w:rFonts w:ascii="Calibri" w:hAnsi="Calibri"/>
                    <w:color w:val="000000"/>
                    <w:szCs w:val="20"/>
                  </w:rPr>
                  <w:t xml:space="preserve">PREPARE A STATEMENT OF CASH FLOWS </w:t>
                </w:r>
              </w:p>
              <w:p w:rsidR="00843CEA" w:rsidRPr="00596EAE" w:rsidRDefault="00843CEA" w:rsidP="00843CEA">
                <w:pPr>
                  <w:pStyle w:val="ListParagraph"/>
                  <w:numPr>
                    <w:ilvl w:val="0"/>
                    <w:numId w:val="4"/>
                  </w:numPr>
                  <w:rPr>
                    <w:rFonts w:ascii="Calibri" w:hAnsi="Calibri"/>
                  </w:rPr>
                </w:pPr>
                <w:r w:rsidRPr="00596EAE">
                  <w:rPr>
                    <w:rFonts w:ascii="Calibri" w:hAnsi="Calibri"/>
                    <w:color w:val="000000"/>
                    <w:szCs w:val="20"/>
                  </w:rPr>
                  <w:t>USE VARIOUS FINANCIAL RATIOS TO ANALYZE AN ORGANIZATION'S FINANCIAL STATEMENTS.</w:t>
                </w:r>
              </w:p>
              <w:p w:rsidR="00DC7C5A" w:rsidRPr="00DC7C5A" w:rsidRDefault="00465EDD" w:rsidP="00DC67E0">
                <w:pPr>
                  <w:tabs>
                    <w:tab w:val="left" w:pos="3690"/>
                  </w:tabs>
                  <w:spacing w:after="120" w:line="360" w:lineRule="auto"/>
                  <w:ind w:right="-90"/>
                  <w:rPr>
                    <w:caps/>
                    <w:u w:val="single"/>
                  </w:rPr>
                </w:pP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843CEA" w:rsidRPr="0004057E" w:rsidTr="00F643E7">
        <w:trPr>
          <w:trHeight w:val="223"/>
        </w:trPr>
        <w:tc>
          <w:tcPr>
            <w:tcW w:w="3492" w:type="dxa"/>
          </w:tcPr>
          <w:p w:rsidR="00843CEA" w:rsidRPr="0004057E" w:rsidRDefault="00843CEA" w:rsidP="00862C96">
            <w:pPr>
              <w:tabs>
                <w:tab w:val="left" w:pos="4140"/>
              </w:tabs>
              <w:spacing w:line="276" w:lineRule="auto"/>
            </w:pPr>
            <w:r>
              <w:t>Explain the characteristics of financial accounting</w:t>
            </w:r>
          </w:p>
        </w:tc>
        <w:tc>
          <w:tcPr>
            <w:tcW w:w="2970" w:type="dxa"/>
            <w:vMerge w:val="restart"/>
          </w:tcPr>
          <w:p w:rsidR="00843CEA" w:rsidRPr="0004057E" w:rsidRDefault="00843CEA" w:rsidP="00862C96">
            <w:pPr>
              <w:tabs>
                <w:tab w:val="left" w:pos="4140"/>
              </w:tabs>
              <w:spacing w:line="276" w:lineRule="auto"/>
            </w:pPr>
            <w:r>
              <w:t>Homework assignments, quizzes, comprehensive proctored final examination, and/or special project or classroom presentation</w:t>
            </w:r>
          </w:p>
        </w:tc>
        <w:tc>
          <w:tcPr>
            <w:tcW w:w="3168" w:type="dxa"/>
          </w:tcPr>
          <w:p w:rsidR="00843CEA" w:rsidRPr="0004057E" w:rsidRDefault="00355098" w:rsidP="00862C96">
            <w:pPr>
              <w:tabs>
                <w:tab w:val="left" w:pos="4140"/>
              </w:tabs>
              <w:spacing w:line="276" w:lineRule="auto"/>
            </w:pPr>
            <w:r>
              <w:t>CT</w:t>
            </w:r>
          </w:p>
        </w:tc>
      </w:tr>
      <w:tr w:rsidR="00843CEA" w:rsidRPr="0004057E" w:rsidTr="00F643E7">
        <w:tc>
          <w:tcPr>
            <w:tcW w:w="3492" w:type="dxa"/>
          </w:tcPr>
          <w:p w:rsidR="00843CEA" w:rsidRPr="0004057E" w:rsidRDefault="00843CEA" w:rsidP="00862C96">
            <w:pPr>
              <w:tabs>
                <w:tab w:val="left" w:pos="4140"/>
              </w:tabs>
              <w:spacing w:line="276" w:lineRule="auto"/>
            </w:pPr>
            <w:r>
              <w:t>Describe the basic principles of accounting systems</w:t>
            </w:r>
          </w:p>
        </w:tc>
        <w:tc>
          <w:tcPr>
            <w:tcW w:w="2970" w:type="dxa"/>
            <w:vMerge/>
          </w:tcPr>
          <w:p w:rsidR="00843CEA" w:rsidRPr="0004057E" w:rsidRDefault="00843CEA" w:rsidP="00862C96">
            <w:pPr>
              <w:tabs>
                <w:tab w:val="left" w:pos="4140"/>
              </w:tabs>
              <w:spacing w:line="276" w:lineRule="auto"/>
            </w:pPr>
          </w:p>
        </w:tc>
        <w:tc>
          <w:tcPr>
            <w:tcW w:w="3168" w:type="dxa"/>
          </w:tcPr>
          <w:p w:rsidR="00843CEA" w:rsidRPr="0004057E" w:rsidRDefault="00355098" w:rsidP="00862C96">
            <w:pPr>
              <w:tabs>
                <w:tab w:val="left" w:pos="4140"/>
              </w:tabs>
              <w:spacing w:line="276" w:lineRule="auto"/>
            </w:pPr>
            <w:r>
              <w:t>CT</w:t>
            </w:r>
          </w:p>
        </w:tc>
      </w:tr>
      <w:tr w:rsidR="00843CEA" w:rsidRPr="0004057E" w:rsidTr="00F643E7">
        <w:tc>
          <w:tcPr>
            <w:tcW w:w="3492" w:type="dxa"/>
          </w:tcPr>
          <w:p w:rsidR="00843CEA" w:rsidRPr="0004057E" w:rsidRDefault="00843CEA" w:rsidP="00862C96">
            <w:pPr>
              <w:tabs>
                <w:tab w:val="left" w:pos="4140"/>
              </w:tabs>
              <w:spacing w:line="276" w:lineRule="auto"/>
            </w:pPr>
            <w:r>
              <w:t>Apply accounting principles to financial statement elements</w:t>
            </w:r>
          </w:p>
        </w:tc>
        <w:tc>
          <w:tcPr>
            <w:tcW w:w="2970" w:type="dxa"/>
            <w:vMerge/>
          </w:tcPr>
          <w:p w:rsidR="00843CEA" w:rsidRPr="0004057E" w:rsidRDefault="00843CEA" w:rsidP="00862C96">
            <w:pPr>
              <w:tabs>
                <w:tab w:val="left" w:pos="4140"/>
              </w:tabs>
              <w:spacing w:line="276" w:lineRule="auto"/>
            </w:pPr>
          </w:p>
        </w:tc>
        <w:tc>
          <w:tcPr>
            <w:tcW w:w="3168" w:type="dxa"/>
          </w:tcPr>
          <w:p w:rsidR="00843CEA" w:rsidRPr="0004057E" w:rsidRDefault="00843CEA" w:rsidP="00862C96">
            <w:pPr>
              <w:tabs>
                <w:tab w:val="left" w:pos="4140"/>
              </w:tabs>
              <w:spacing w:line="276" w:lineRule="auto"/>
            </w:pPr>
            <w:r>
              <w:t>CT</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465EDD"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43CEA">
                  <w:rPr>
                    <w:caps/>
                  </w:rPr>
                  <w:t>ADVANCED AND PROFESSIONAL - 1.15.05 - BUSINESS AND MANAGEMENT</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lastRenderedPageBreak/>
              <w:t xml:space="preserve">IF YOU INTEND TO RESTRICT STUDENT REGISTRATION BASED ON THE STUDENTS’ MAJOR(S), ENTER ALL APPLICABLE MAJOR RESTRICTION CODE(S)—Enter “NA” OR MAJOR code(S):     </w:t>
            </w:r>
          </w:p>
        </w:tc>
        <w:tc>
          <w:tcPr>
            <w:tcW w:w="4932" w:type="dxa"/>
          </w:tcPr>
          <w:p w:rsidR="00DC7C5A" w:rsidRPr="00DC7C5A" w:rsidRDefault="00465EDD" w:rsidP="00843CEA">
            <w:pPr>
              <w:tabs>
                <w:tab w:val="left" w:pos="2880"/>
              </w:tabs>
              <w:spacing w:after="120"/>
              <w:rPr>
                <w:caps/>
              </w:rPr>
            </w:pPr>
            <w:sdt>
              <w:sdtPr>
                <w:rPr>
                  <w:caps/>
                </w:rPr>
                <w:id w:val="706025816"/>
                <w:placeholder>
                  <w:docPart w:val="95394EB4A04648959838A33CCBCA1BEA"/>
                </w:placeholder>
                <w:text w:multiLine="1"/>
              </w:sdtPr>
              <w:sdtEndPr/>
              <w:sdtContent>
                <w:r w:rsidR="00843CEA">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465EDD"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843CEA">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465EDD"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843CE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465EDD"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843CE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465EDD"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843CE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465EDD"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843CEA">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 xml:space="preserve">(A repeatable course </w:t>
            </w:r>
            <w:proofErr w:type="gramStart"/>
            <w:r w:rsidRPr="00DC7C5A">
              <w:t>may be taken</w:t>
            </w:r>
            <w:proofErr w:type="gramEnd"/>
            <w:r w:rsidRPr="00DC7C5A">
              <w:t xml:space="preserve"> more than one time for additional credits. For example, MUT 2641, a 3-credit hour course, </w:t>
            </w:r>
            <w:proofErr w:type="gramStart"/>
            <w:r w:rsidRPr="00DC7C5A">
              <w:t>can be repeated</w:t>
            </w:r>
            <w:proofErr w:type="gramEnd"/>
            <w:r w:rsidRPr="00DC7C5A">
              <w:t xml:space="preserve">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465EDD"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843CEA">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465EDD" w:rsidP="00843CEA">
            <w:pPr>
              <w:tabs>
                <w:tab w:val="left" w:pos="2880"/>
              </w:tabs>
              <w:spacing w:after="120"/>
              <w:rPr>
                <w:caps/>
              </w:rPr>
            </w:pPr>
            <w:sdt>
              <w:sdtPr>
                <w:rPr>
                  <w:caps/>
                </w:rPr>
                <w:id w:val="706025976"/>
                <w:placeholder>
                  <w:docPart w:val="42EC1D75058047649C99AFFD0B948D8D"/>
                </w:placeholder>
                <w:text/>
              </w:sdtPr>
              <w:sdtEndPr/>
              <w:sdtContent>
                <w:r w:rsidR="00843CEA">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465EDD"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843CEA">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465EDD"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843CEA">
                  <w:rPr>
                    <w:caps/>
                  </w:rPr>
                  <w:t>YES</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465EDD" w:rsidP="00520EE6">
            <w:pPr>
              <w:tabs>
                <w:tab w:val="left" w:pos="2880"/>
              </w:tabs>
              <w:spacing w:after="120"/>
              <w:rPr>
                <w:caps/>
              </w:rPr>
            </w:pPr>
            <w:sdt>
              <w:sdtPr>
                <w:rPr>
                  <w:caps/>
                </w:rPr>
                <w:id w:val="706025967"/>
                <w:placeholder>
                  <w:docPart w:val="3CC6A7180A9F43E7A001D39F9EEC156D"/>
                </w:placeholder>
                <w:text/>
              </w:sdtPr>
              <w:sdtEndPr/>
              <w:sdtContent>
                <w:r w:rsidR="00520EE6">
                  <w:rPr>
                    <w:caps/>
                  </w:rPr>
                  <w:t>this course will also be incorporated into the AS Business Administration degree program</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 xml:space="preserve">IF “YES,” </w:t>
            </w:r>
            <w:proofErr w:type="gramStart"/>
            <w:r w:rsidRPr="00DC7C5A">
              <w:rPr>
                <w:caps/>
              </w:rPr>
              <w:t>HAVE</w:t>
            </w:r>
            <w:proofErr w:type="gramEnd"/>
            <w:r w:rsidRPr="00DC7C5A">
              <w:rPr>
                <w:caps/>
              </w:rPr>
              <w:t xml:space="preser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t>
            </w:r>
            <w:proofErr w:type="gramStart"/>
            <w:r w:rsidRPr="00DC7C5A">
              <w:rPr>
                <w:caps/>
              </w:rPr>
              <w:t>WERE ANY AGREEMENTS MADE</w:t>
            </w:r>
            <w:proofErr w:type="gramEnd"/>
            <w:r w:rsidRPr="00DC7C5A">
              <w:rPr>
                <w:caps/>
              </w:rPr>
              <w:t xml:space="preserve"> (ENTER “NA” OR COMMENTS)?  </w:t>
            </w:r>
          </w:p>
          <w:p w:rsidR="00DC7C5A" w:rsidRPr="00DC7C5A" w:rsidRDefault="00DC7C5A" w:rsidP="00DC7C5A">
            <w:pPr>
              <w:spacing w:after="120"/>
              <w:rPr>
                <w:caps/>
              </w:rPr>
            </w:pPr>
          </w:p>
        </w:tc>
        <w:tc>
          <w:tcPr>
            <w:tcW w:w="4932" w:type="dxa"/>
          </w:tcPr>
          <w:p w:rsidR="00DC7C5A" w:rsidRPr="00DC7C5A" w:rsidRDefault="00465EDD" w:rsidP="00520EE6">
            <w:pPr>
              <w:tabs>
                <w:tab w:val="left" w:pos="2880"/>
              </w:tabs>
              <w:spacing w:after="120"/>
              <w:rPr>
                <w:caps/>
              </w:rPr>
            </w:pPr>
            <w:sdt>
              <w:sdtPr>
                <w:rPr>
                  <w:caps/>
                </w:rPr>
                <w:id w:val="706025962"/>
                <w:placeholder>
                  <w:docPart w:val="17F9734F0A174C9B8734224A9CF2B29E"/>
                </w:placeholder>
                <w:text/>
              </w:sdtPr>
              <w:sdtEndPr/>
              <w:sdtContent>
                <w:r w:rsidR="00520EE6">
                  <w:rPr>
                    <w:caps/>
                  </w:rPr>
                  <w:t>yes. the AS Business administration degree framework has been amended for the 2014-15 AY and this proposed course more fully meets the new requirements of that framework.</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465EDD" w:rsidP="009B3DD8">
      <w:pPr>
        <w:tabs>
          <w:tab w:val="left" w:pos="3630"/>
        </w:tabs>
        <w:spacing w:after="0"/>
        <w:rPr>
          <w:caps/>
        </w:rPr>
      </w:pPr>
      <w:sdt>
        <w:sdtPr>
          <w:rPr>
            <w:caps/>
          </w:rPr>
          <w:id w:val="706025988"/>
          <w:placeholder>
            <w:docPart w:val="53F776F7BCC74E39AEC4200947FA0679"/>
          </w:placeholder>
          <w:text w:multiLine="1"/>
        </w:sdtPr>
        <w:sdtEndPr/>
        <w:sdtContent>
          <w:proofErr w:type="gramStart"/>
          <w:r w:rsidR="00520EE6" w:rsidRPr="00A4716E">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520EE6" w:rsidRPr="00A4716E">
            <w:rPr>
              <w:caps/>
            </w:rPr>
            <w:t xml:space="preserve"> </w:t>
          </w:r>
          <w:proofErr w:type="gramStart"/>
          <w:r w:rsidR="00520EE6" w:rsidRPr="00A4716E">
            <w:rPr>
              <w:caps/>
            </w:rPr>
            <w:t>CHANGES ARE BEING DRIVEN BY THE PROFESSORS WHO NORMALLY TEACH THE COURSES</w:t>
          </w:r>
          <w:proofErr w:type="gramEnd"/>
          <w:r w:rsidR="00520EE6" w:rsidRPr="00A4716E">
            <w:rPr>
              <w:caps/>
            </w:rPr>
            <w:t>.</w:t>
          </w:r>
          <w:r w:rsidR="00520EE6">
            <w:rPr>
              <w:caps/>
            </w:rPr>
            <w:t xml:space="preserve"> This proposed change better aligns the degree with SUS requirements and allows for other programmatic improvements.</w:t>
          </w:r>
          <w:r w:rsidR="00843720">
            <w:rPr>
              <w:caps/>
            </w:rPr>
            <w:br/>
          </w:r>
          <w:r w:rsidR="00843720">
            <w:rPr>
              <w:caps/>
            </w:rPr>
            <w:lastRenderedPageBreak/>
            <w:br/>
            <w:t>Note that the old course ACG 1001 titled “Financial Accounting” is not equivalent to this new course</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905850">
        <w:t>are NOT permitted</w:t>
      </w:r>
      <w:proofErr w:type="gramEnd"/>
      <w:r w:rsidR="00905850">
        <w:t>.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465EDD"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520EE6">
            <w:rPr>
              <w:caps/>
            </w:rPr>
            <w:t>FALL 2014</w:t>
          </w:r>
        </w:sdtContent>
      </w:sdt>
      <w:r w:rsidR="009B3DD8">
        <w:rPr>
          <w:caps/>
        </w:rPr>
        <w:t xml:space="preserve">  </w:t>
      </w:r>
    </w:p>
    <w:p w:rsidR="009B3DD8" w:rsidRDefault="00465EDD" w:rsidP="009B3DD8">
      <w:pPr>
        <w:tabs>
          <w:tab w:val="left" w:pos="5040"/>
        </w:tabs>
        <w:rPr>
          <w:caps/>
        </w:rPr>
      </w:pPr>
      <w:sdt>
        <w:sdtPr>
          <w:rPr>
            <w:caps/>
          </w:rPr>
          <w:id w:val="706025999"/>
          <w:placeholder>
            <w:docPart w:val="A753A7FF0963414E92F0C43791096A90"/>
          </w:placeholder>
          <w:text/>
        </w:sdtPr>
        <w:sdtEndPr/>
        <w:sdtContent>
          <w:r w:rsidR="00520EE6">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465EDD"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465EDD"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88772F" w:rsidP="009B3DD8">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88772F"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3-12-30T00:00:00Z">
            <w:dateFormat w:val="M/d/yyyy"/>
            <w:lid w:val="en-US"/>
            <w:storeMappedDataAs w:val="dateTime"/>
            <w:calendar w:val="gregorian"/>
          </w:date>
        </w:sdtPr>
        <w:sdtEndPr/>
        <w:sdtContent>
          <w:r w:rsidR="00520EE6">
            <w:rPr>
              <w:caps/>
            </w:rPr>
            <w:t>12/30/2013</w:t>
          </w:r>
        </w:sdtContent>
      </w:sdt>
    </w:p>
    <w:p w:rsidR="00CC3C8D" w:rsidRPr="001715A0" w:rsidRDefault="00CC3C8D" w:rsidP="00CC3C8D">
      <w:pPr>
        <w:spacing w:after="0"/>
        <w:rPr>
          <w:b/>
          <w:caps/>
        </w:rPr>
      </w:pPr>
      <w:r w:rsidRPr="001715A0">
        <w:rPr>
          <w:b/>
          <w:caps/>
        </w:rPr>
        <w:t>DEAN ENDORSEMENT:</w:t>
      </w:r>
    </w:p>
    <w:p w:rsidR="00CC3C8D" w:rsidRPr="001715A0" w:rsidRDefault="0088772F"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3-12-30T00:00:00Z">
            <w:dateFormat w:val="M/d/yyyy"/>
            <w:lid w:val="en-US"/>
            <w:storeMappedDataAs w:val="dateTime"/>
            <w:calendar w:val="gregorian"/>
          </w:date>
        </w:sdtPr>
        <w:sdtEndPr/>
        <w:sdtContent>
          <w:r w:rsidR="00520EE6">
            <w:rPr>
              <w:caps/>
            </w:rPr>
            <w:t>12/30/2013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88772F" w:rsidP="00CC3C8D">
      <w:pPr>
        <w:spacing w:after="120"/>
        <w:rPr>
          <w:caps/>
        </w:rPr>
      </w:pPr>
      <w:r w:rsidRPr="001715A0">
        <w:rPr>
          <w:caps/>
        </w:rPr>
        <w:object w:dxaOrig="225" w:dyaOrig="225">
          <v:shape id="_x0000_i1041" type="#_x0000_t75" style="width:263.2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date w:fullDate="2014-02-18T00:00:00Z">
            <w:dateFormat w:val="M/d/yyyy"/>
            <w:lid w:val="en-US"/>
            <w:storeMappedDataAs w:val="dateTime"/>
            <w:calendar w:val="gregorian"/>
          </w:date>
        </w:sdtPr>
        <w:sdtEndPr/>
        <w:sdtContent>
          <w:r w:rsidR="00675AAB">
            <w:rPr>
              <w:caps/>
            </w:rPr>
            <w:t>2/18/2014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20EE6">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88772F" w:rsidRPr="00451983">
          <w:rPr>
            <w:sz w:val="16"/>
          </w:rPr>
          <w:fldChar w:fldCharType="begin"/>
        </w:r>
        <w:r w:rsidRPr="00451983">
          <w:rPr>
            <w:sz w:val="16"/>
          </w:rPr>
          <w:instrText xml:space="preserve"> PAGE   \* MERGEFORMAT </w:instrText>
        </w:r>
        <w:r w:rsidR="0088772F" w:rsidRPr="00451983">
          <w:rPr>
            <w:sz w:val="16"/>
          </w:rPr>
          <w:fldChar w:fldCharType="separate"/>
        </w:r>
        <w:r w:rsidR="00465EDD">
          <w:rPr>
            <w:noProof/>
            <w:sz w:val="16"/>
          </w:rPr>
          <w:t>2</w:t>
        </w:r>
        <w:r w:rsidR="0088772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4669"/>
    <w:multiLevelType w:val="hybridMultilevel"/>
    <w:tmpl w:val="C2DA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7494E"/>
    <w:rsid w:val="00074DF9"/>
    <w:rsid w:val="00081C89"/>
    <w:rsid w:val="000D163D"/>
    <w:rsid w:val="000E1D88"/>
    <w:rsid w:val="000F286B"/>
    <w:rsid w:val="00112C57"/>
    <w:rsid w:val="0011432E"/>
    <w:rsid w:val="00117487"/>
    <w:rsid w:val="00140D5C"/>
    <w:rsid w:val="001842D4"/>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55098"/>
    <w:rsid w:val="00382F26"/>
    <w:rsid w:val="003D138B"/>
    <w:rsid w:val="003D761B"/>
    <w:rsid w:val="003E33D3"/>
    <w:rsid w:val="003E6472"/>
    <w:rsid w:val="004177C2"/>
    <w:rsid w:val="004468B7"/>
    <w:rsid w:val="00465EDD"/>
    <w:rsid w:val="0049214C"/>
    <w:rsid w:val="004A2E11"/>
    <w:rsid w:val="004A3EED"/>
    <w:rsid w:val="004B79EF"/>
    <w:rsid w:val="004F35FB"/>
    <w:rsid w:val="004F4EDF"/>
    <w:rsid w:val="005119C1"/>
    <w:rsid w:val="00520EE6"/>
    <w:rsid w:val="00524C37"/>
    <w:rsid w:val="00525C08"/>
    <w:rsid w:val="00552D66"/>
    <w:rsid w:val="00553FEF"/>
    <w:rsid w:val="00596792"/>
    <w:rsid w:val="005E052D"/>
    <w:rsid w:val="005E1F08"/>
    <w:rsid w:val="00602709"/>
    <w:rsid w:val="00634272"/>
    <w:rsid w:val="00651DD4"/>
    <w:rsid w:val="00675AAB"/>
    <w:rsid w:val="00685810"/>
    <w:rsid w:val="006B161D"/>
    <w:rsid w:val="006B54F5"/>
    <w:rsid w:val="006C2F68"/>
    <w:rsid w:val="006E2DEC"/>
    <w:rsid w:val="006E66D3"/>
    <w:rsid w:val="007311CA"/>
    <w:rsid w:val="00732C04"/>
    <w:rsid w:val="007703F4"/>
    <w:rsid w:val="007B4A02"/>
    <w:rsid w:val="007C35B3"/>
    <w:rsid w:val="007D0604"/>
    <w:rsid w:val="007E6371"/>
    <w:rsid w:val="007F287F"/>
    <w:rsid w:val="00803A0A"/>
    <w:rsid w:val="00824EE7"/>
    <w:rsid w:val="00843720"/>
    <w:rsid w:val="00843CEA"/>
    <w:rsid w:val="008470F0"/>
    <w:rsid w:val="0086061B"/>
    <w:rsid w:val="00862C96"/>
    <w:rsid w:val="00864F63"/>
    <w:rsid w:val="00872D20"/>
    <w:rsid w:val="0088772F"/>
    <w:rsid w:val="0089286F"/>
    <w:rsid w:val="008B0E4F"/>
    <w:rsid w:val="008B7824"/>
    <w:rsid w:val="008E5620"/>
    <w:rsid w:val="008F0250"/>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1EB6"/>
    <w:rsid w:val="009E6E94"/>
    <w:rsid w:val="00A0412C"/>
    <w:rsid w:val="00A1603A"/>
    <w:rsid w:val="00A326C4"/>
    <w:rsid w:val="00A75E3A"/>
    <w:rsid w:val="00A87420"/>
    <w:rsid w:val="00A90046"/>
    <w:rsid w:val="00A94888"/>
    <w:rsid w:val="00AC2A3D"/>
    <w:rsid w:val="00AE2E04"/>
    <w:rsid w:val="00AE7DC8"/>
    <w:rsid w:val="00AF15F3"/>
    <w:rsid w:val="00B11D07"/>
    <w:rsid w:val="00B1252B"/>
    <w:rsid w:val="00B212FD"/>
    <w:rsid w:val="00B361AB"/>
    <w:rsid w:val="00B520D0"/>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4AF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34E5B"/>
    <w:rsid w:val="00E63F0A"/>
    <w:rsid w:val="00E74BC2"/>
    <w:rsid w:val="00E819B1"/>
    <w:rsid w:val="00E852F2"/>
    <w:rsid w:val="00E85C72"/>
    <w:rsid w:val="00E9708E"/>
    <w:rsid w:val="00ED5D80"/>
    <w:rsid w:val="00EE1FA5"/>
    <w:rsid w:val="00EE5058"/>
    <w:rsid w:val="00EF40F3"/>
    <w:rsid w:val="00F47DC4"/>
    <w:rsid w:val="00F643E7"/>
    <w:rsid w:val="00F67B14"/>
    <w:rsid w:val="00FC2121"/>
    <w:rsid w:val="00FC7370"/>
    <w:rsid w:val="00FC746B"/>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31CC"/>
    <w:rsid w:val="000E4D50"/>
    <w:rsid w:val="001C0E68"/>
    <w:rsid w:val="001E12FB"/>
    <w:rsid w:val="001F308D"/>
    <w:rsid w:val="001F5345"/>
    <w:rsid w:val="0022253D"/>
    <w:rsid w:val="002F1AA9"/>
    <w:rsid w:val="003042D4"/>
    <w:rsid w:val="003835E3"/>
    <w:rsid w:val="00397B4B"/>
    <w:rsid w:val="003E36D7"/>
    <w:rsid w:val="004368AE"/>
    <w:rsid w:val="00454A65"/>
    <w:rsid w:val="00482AF1"/>
    <w:rsid w:val="004C438A"/>
    <w:rsid w:val="00554C08"/>
    <w:rsid w:val="006166E9"/>
    <w:rsid w:val="00673FFD"/>
    <w:rsid w:val="006E577F"/>
    <w:rsid w:val="007939A6"/>
    <w:rsid w:val="007B2FA2"/>
    <w:rsid w:val="0080166F"/>
    <w:rsid w:val="0084608C"/>
    <w:rsid w:val="008B2185"/>
    <w:rsid w:val="009A1F68"/>
    <w:rsid w:val="009B3291"/>
    <w:rsid w:val="009C2063"/>
    <w:rsid w:val="00A9491A"/>
    <w:rsid w:val="00AD391F"/>
    <w:rsid w:val="00B76457"/>
    <w:rsid w:val="00BC5082"/>
    <w:rsid w:val="00C106D5"/>
    <w:rsid w:val="00D0415A"/>
    <w:rsid w:val="00D45E6C"/>
    <w:rsid w:val="00E05FDE"/>
    <w:rsid w:val="00E3346C"/>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41DE7-CBB0-4E19-8465-EE56E3C4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8</cp:revision>
  <cp:lastPrinted>2013-09-11T12:39:00Z</cp:lastPrinted>
  <dcterms:created xsi:type="dcterms:W3CDTF">2013-12-30T22:47:00Z</dcterms:created>
  <dcterms:modified xsi:type="dcterms:W3CDTF">2014-03-12T20:01:00Z</dcterms:modified>
</cp:coreProperties>
</file>