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3C0AFE">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3C0AFE">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05678D">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8D6C9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FB2CC5">
            <w:rPr>
              <w:rStyle w:val="FormStyle"/>
              <w:b w:val="0"/>
              <w:caps/>
              <w:color w:val="auto"/>
            </w:rPr>
            <w:t xml:space="preserve">DEH </w:t>
          </w:r>
          <w:r w:rsidR="00602766">
            <w:rPr>
              <w:rStyle w:val="FormStyle"/>
              <w:b w:val="0"/>
              <w:caps/>
              <w:color w:val="auto"/>
            </w:rPr>
            <w:t>2804</w:t>
          </w:r>
          <w:r w:rsidR="00FB2CC5">
            <w:rPr>
              <w:rStyle w:val="FormStyle"/>
              <w:b w:val="0"/>
              <w:caps/>
              <w:color w:val="auto"/>
            </w:rPr>
            <w:t xml:space="preserve"> Dental Hygiene I</w:t>
          </w:r>
          <w:r w:rsidR="00602766">
            <w:rPr>
              <w:rStyle w:val="FormStyle"/>
              <w:b w:val="0"/>
              <w:caps/>
              <w:color w:val="auto"/>
            </w:rPr>
            <w:t>I</w:t>
          </w:r>
          <w:r w:rsidR="00FB2CC5">
            <w:rPr>
              <w:rStyle w:val="FormStyle"/>
              <w:b w:val="0"/>
              <w:caps/>
              <w:color w:val="auto"/>
            </w:rPr>
            <w:t xml:space="preserve">I </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D6C9D"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9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8D6C9D" w:rsidP="0004057E">
      <w:pPr>
        <w:tabs>
          <w:tab w:val="left" w:pos="3690"/>
        </w:tabs>
        <w:spacing w:after="120"/>
        <w:ind w:right="-90"/>
        <w:rPr>
          <w:caps/>
        </w:rPr>
      </w:pPr>
      <w:r w:rsidRPr="001715A0">
        <w:rPr>
          <w:caps/>
        </w:rPr>
        <w:object w:dxaOrig="225" w:dyaOrig="225">
          <v:shape id="_x0000_i1065" type="#_x0000_t75" style="width:148pt;height:19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D6C9D" w:rsidP="005119C1">
      <w:pPr>
        <w:tabs>
          <w:tab w:val="left" w:pos="3690"/>
        </w:tabs>
        <w:spacing w:after="120"/>
        <w:ind w:right="-90"/>
        <w:rPr>
          <w:b/>
          <w:caps/>
        </w:rPr>
      </w:pPr>
      <w:r w:rsidRPr="001715A0">
        <w:rPr>
          <w:b/>
          <w:caps/>
        </w:rPr>
        <w:object w:dxaOrig="225" w:dyaOrig="225">
          <v:shape id="_x0000_i1067" type="#_x0000_t75" style="width:145.5pt;height:19pt" o:ole="">
            <v:imagedata r:id="rId12" o:title=""/>
          </v:shape>
          <w:control r:id="rId13" w:name="CheckBox3" w:shapeid="_x0000_i1067"/>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8D6C9D" w:rsidP="0004057E">
      <w:pPr>
        <w:tabs>
          <w:tab w:val="left" w:pos="3690"/>
        </w:tabs>
        <w:spacing w:after="120"/>
        <w:ind w:right="-90"/>
        <w:rPr>
          <w:caps/>
        </w:rPr>
      </w:pPr>
      <w:r w:rsidRPr="001715A0">
        <w:rPr>
          <w:b/>
          <w:caps/>
        </w:rPr>
        <w:object w:dxaOrig="225" w:dyaOrig="225">
          <v:shape id="_x0000_i1069" type="#_x0000_t75" style="width:170.5pt;height:19pt" o:ole="">
            <v:imagedata r:id="rId14" o:title=""/>
          </v:shape>
          <w:control r:id="rId15"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1474FA" w:rsidRPr="00DE0842">
            <w:rPr>
              <w:rStyle w:val="PlaceholderText"/>
              <w:caps/>
              <w:color w:val="FF0000"/>
              <w:sz w:val="18"/>
            </w:rPr>
            <w:t>LIST ALL PREREQUISITES IN SEQUENTIAL ORDER</w:t>
          </w:r>
        </w:sdtContent>
      </w:sdt>
    </w:p>
    <w:p w:rsidR="00872D20" w:rsidRPr="001715A0" w:rsidRDefault="008D6C9D" w:rsidP="0004057E">
      <w:pPr>
        <w:tabs>
          <w:tab w:val="left" w:pos="3690"/>
        </w:tabs>
        <w:spacing w:after="120"/>
        <w:ind w:right="-90"/>
        <w:rPr>
          <w:caps/>
        </w:rPr>
      </w:pPr>
      <w:r w:rsidRPr="001715A0">
        <w:rPr>
          <w:b/>
          <w:caps/>
        </w:rPr>
        <w:object w:dxaOrig="225" w:dyaOrig="225">
          <v:shape id="_x0000_i1071" type="#_x0000_t75" style="width:163pt;height:19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D6C9D" w:rsidP="0004057E">
      <w:pPr>
        <w:tabs>
          <w:tab w:val="left" w:pos="3690"/>
        </w:tabs>
        <w:spacing w:after="120"/>
        <w:ind w:right="-90"/>
        <w:rPr>
          <w:caps/>
        </w:rPr>
      </w:pPr>
      <w:r w:rsidRPr="001715A0">
        <w:rPr>
          <w:b/>
          <w:caps/>
        </w:rPr>
        <w:object w:dxaOrig="225" w:dyaOrig="225">
          <v:shape id="_x0000_i1073" type="#_x0000_t75" style="width:172.5pt;height:19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Content>
          <w:r w:rsidR="001474FA" w:rsidRPr="00DE0842">
            <w:rPr>
              <w:rStyle w:val="PlaceholderText"/>
              <w:caps/>
              <w:color w:val="FF0000"/>
            </w:rPr>
            <w:t>LIST ALL COREQUISITES IN SEQUENTIAL ORDER</w:t>
          </w:r>
        </w:sdtContent>
      </w:sdt>
    </w:p>
    <w:p w:rsidR="00872D20" w:rsidRPr="001715A0" w:rsidRDefault="008D6C9D" w:rsidP="0004057E">
      <w:pPr>
        <w:tabs>
          <w:tab w:val="left" w:pos="3690"/>
        </w:tabs>
        <w:spacing w:after="120"/>
        <w:ind w:right="-90"/>
        <w:rPr>
          <w:caps/>
        </w:rPr>
      </w:pPr>
      <w:r w:rsidRPr="001715A0">
        <w:rPr>
          <w:b/>
          <w:caps/>
        </w:rPr>
        <w:object w:dxaOrig="225" w:dyaOrig="225">
          <v:shape id="_x0000_i1075" type="#_x0000_t75" style="width:177pt;height:19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D6C9D" w:rsidP="008D5F1B">
      <w:pPr>
        <w:tabs>
          <w:tab w:val="left" w:pos="3690"/>
        </w:tabs>
        <w:spacing w:after="120"/>
        <w:ind w:right="-90"/>
        <w:rPr>
          <w:b/>
          <w:caps/>
        </w:rPr>
      </w:pPr>
      <w:r w:rsidRPr="001715A0">
        <w:rPr>
          <w:b/>
          <w:caps/>
        </w:rPr>
        <w:object w:dxaOrig="225" w:dyaOrig="225">
          <v:shape id="_x0000_i1077" type="#_x0000_t75" style="width:163pt;height:19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8D6C9D" w:rsidP="008D5F1B">
      <w:pPr>
        <w:tabs>
          <w:tab w:val="left" w:pos="3420"/>
          <w:tab w:val="left" w:pos="3690"/>
        </w:tabs>
        <w:spacing w:after="120"/>
        <w:ind w:right="-90"/>
        <w:rPr>
          <w:b/>
          <w:caps/>
        </w:rPr>
      </w:pPr>
      <w:r w:rsidRPr="001715A0">
        <w:rPr>
          <w:b/>
          <w:caps/>
        </w:rPr>
        <w:object w:dxaOrig="225" w:dyaOrig="225">
          <v:shape id="_x0000_i1079" type="#_x0000_t75" style="width:175.5pt;height:19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D6C9D" w:rsidP="00BB049E">
      <w:pPr>
        <w:tabs>
          <w:tab w:val="left" w:pos="3690"/>
        </w:tabs>
        <w:spacing w:after="120"/>
        <w:rPr>
          <w:b/>
          <w:caps/>
        </w:rPr>
      </w:pPr>
      <w:r w:rsidRPr="001715A0">
        <w:rPr>
          <w:b/>
          <w:caps/>
        </w:rPr>
        <w:object w:dxaOrig="225" w:dyaOrig="225">
          <v:shape id="_x0000_i1081" type="#_x0000_t75" style="width:163pt;height:19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1638FC" w:rsidRDefault="008D6C9D" w:rsidP="00081C89">
      <w:pPr>
        <w:tabs>
          <w:tab w:val="left" w:pos="4140"/>
        </w:tabs>
        <w:spacing w:after="0"/>
        <w:rPr>
          <w:rFonts w:ascii="Calibri" w:hAnsi="Calibri" w:cs="Arial"/>
          <w:sz w:val="22"/>
        </w:rPr>
      </w:pPr>
      <w:r w:rsidRPr="001715A0">
        <w:rPr>
          <w:b/>
          <w:caps/>
        </w:rPr>
        <w:lastRenderedPageBreak/>
        <w:object w:dxaOrig="225" w:dyaOrig="225">
          <v:shape id="_x0000_i1083" type="#_x0000_t75" style="width:163pt;height:19pt" o:ole="">
            <v:imagedata r:id="rId28" o:title=""/>
          </v:shape>
          <w:control r:id="rId29" w:name="CheckBox11" w:shapeid="_x0000_i1083"/>
        </w:object>
      </w:r>
      <w:r w:rsidR="001638FC" w:rsidRPr="001638FC">
        <w:rPr>
          <w:rFonts w:ascii="Calibri" w:hAnsi="Calibri" w:cs="Arial"/>
          <w:sz w:val="22"/>
        </w:rPr>
        <w:t xml:space="preserve"> </w:t>
      </w:r>
    </w:p>
    <w:p w:rsidR="00FD4DEE" w:rsidRDefault="001638FC" w:rsidP="00081C89">
      <w:pPr>
        <w:tabs>
          <w:tab w:val="left" w:pos="4140"/>
        </w:tabs>
        <w:spacing w:after="0"/>
        <w:rPr>
          <w:rFonts w:ascii="Calibri" w:hAnsi="Calibri" w:cs="Arial"/>
          <w:szCs w:val="20"/>
        </w:rPr>
      </w:pPr>
      <w:r w:rsidRPr="001638FC">
        <w:rPr>
          <w:rFonts w:ascii="Calibri" w:hAnsi="Calibri" w:cs="Arial"/>
          <w:szCs w:val="20"/>
        </w:rPr>
        <w:t>This course expands on dental hygiene procedures presented in the first two semesters</w:t>
      </w:r>
      <w:r>
        <w:rPr>
          <w:rFonts w:ascii="Calibri" w:hAnsi="Calibri" w:cs="Arial"/>
          <w:szCs w:val="20"/>
        </w:rPr>
        <w:t xml:space="preserve"> to include treatment of advanced periodontal patients</w:t>
      </w:r>
      <w:r w:rsidRPr="001638FC">
        <w:rPr>
          <w:rFonts w:ascii="Calibri" w:hAnsi="Calibri" w:cs="Arial"/>
          <w:szCs w:val="20"/>
        </w:rPr>
        <w:t>.</w:t>
      </w:r>
      <w:r w:rsidR="000D56EB">
        <w:rPr>
          <w:rFonts w:ascii="Calibri" w:hAnsi="Calibri" w:cs="Arial"/>
          <w:szCs w:val="20"/>
        </w:rPr>
        <w:t xml:space="preserve"> E</w:t>
      </w:r>
      <w:r w:rsidRPr="001638FC">
        <w:rPr>
          <w:rFonts w:ascii="Calibri" w:hAnsi="Calibri" w:cs="Arial"/>
          <w:szCs w:val="20"/>
        </w:rPr>
        <w:t xml:space="preserve">mphasizes </w:t>
      </w:r>
      <w:r w:rsidR="000D56EB">
        <w:rPr>
          <w:rFonts w:ascii="Calibri" w:hAnsi="Calibri" w:cs="Arial"/>
          <w:szCs w:val="20"/>
        </w:rPr>
        <w:t xml:space="preserve">is on </w:t>
      </w:r>
      <w:bookmarkStart w:id="0" w:name="_GoBack"/>
      <w:bookmarkEnd w:id="0"/>
      <w:r w:rsidRPr="001638FC">
        <w:rPr>
          <w:rFonts w:ascii="Calibri" w:hAnsi="Calibri" w:cs="Arial"/>
          <w:szCs w:val="20"/>
        </w:rPr>
        <w:t xml:space="preserve">treatment planning, use of advanced instrumentation such as ultrasonic and air abrasive techniques, </w:t>
      </w:r>
      <w:r>
        <w:rPr>
          <w:rFonts w:ascii="Calibri" w:hAnsi="Calibri" w:cs="Arial"/>
          <w:szCs w:val="20"/>
        </w:rPr>
        <w:t>medicaments</w:t>
      </w:r>
      <w:r w:rsidRPr="001638FC">
        <w:rPr>
          <w:rFonts w:ascii="Calibri" w:hAnsi="Calibri" w:cs="Arial"/>
          <w:szCs w:val="20"/>
        </w:rPr>
        <w:t xml:space="preserve">, intra oral photography, and an introduction to </w:t>
      </w:r>
      <w:r w:rsidR="00BC3E1E" w:rsidRPr="001638FC">
        <w:rPr>
          <w:rFonts w:ascii="Calibri" w:hAnsi="Calibri" w:cs="Arial"/>
          <w:szCs w:val="20"/>
        </w:rPr>
        <w:t>pulp vitality testing,</w:t>
      </w:r>
      <w:r w:rsidR="00BC3E1E">
        <w:rPr>
          <w:rFonts w:ascii="Calibri" w:hAnsi="Calibri" w:cs="Arial"/>
          <w:szCs w:val="20"/>
        </w:rPr>
        <w:t xml:space="preserve"> PSR, </w:t>
      </w:r>
      <w:r w:rsidR="00BC3E1E" w:rsidRPr="001638FC">
        <w:rPr>
          <w:rFonts w:ascii="Calibri" w:hAnsi="Calibri" w:cs="Arial"/>
          <w:szCs w:val="20"/>
        </w:rPr>
        <w:t xml:space="preserve"> </w:t>
      </w:r>
      <w:r w:rsidR="00BC3E1E">
        <w:rPr>
          <w:rFonts w:ascii="Calibri" w:hAnsi="Calibri" w:cs="Arial"/>
          <w:szCs w:val="20"/>
        </w:rPr>
        <w:t xml:space="preserve">and </w:t>
      </w:r>
      <w:r w:rsidRPr="001638FC">
        <w:rPr>
          <w:rFonts w:ascii="Calibri" w:hAnsi="Calibri" w:cs="Arial"/>
          <w:szCs w:val="20"/>
        </w:rPr>
        <w:t xml:space="preserve">root planning techniques. </w:t>
      </w:r>
    </w:p>
    <w:p w:rsidR="001638FC" w:rsidRPr="001638FC" w:rsidRDefault="001638FC" w:rsidP="00081C89">
      <w:pPr>
        <w:tabs>
          <w:tab w:val="left" w:pos="4140"/>
        </w:tabs>
        <w:spacing w:after="0"/>
        <w:rPr>
          <w:b/>
          <w:caps/>
          <w:szCs w:val="20"/>
        </w:rPr>
      </w:pPr>
    </w:p>
    <w:p w:rsidR="000E1D88" w:rsidRPr="001715A0" w:rsidRDefault="008D6C9D" w:rsidP="000E1D88">
      <w:pPr>
        <w:tabs>
          <w:tab w:val="left" w:pos="4140"/>
        </w:tabs>
        <w:spacing w:after="0"/>
        <w:rPr>
          <w:b/>
          <w:caps/>
        </w:rPr>
      </w:pPr>
      <w:r w:rsidRPr="001715A0">
        <w:rPr>
          <w:b/>
          <w:caps/>
        </w:rPr>
        <w:object w:dxaOrig="225" w:dyaOrig="225">
          <v:shape id="_x0000_i1085" type="#_x0000_t75" style="width:250.5pt;height:19pt" o:ole="">
            <v:imagedata r:id="rId30" o:title=""/>
          </v:shape>
          <w:control r:id="rId31" w:name="CheckBox12" w:shapeid="_x0000_i1085"/>
        </w:object>
      </w:r>
    </w:p>
    <w:p w:rsidR="005F425A" w:rsidRPr="002618C2" w:rsidRDefault="00602766" w:rsidP="005F425A">
      <w:pPr>
        <w:pStyle w:val="ListParagraph"/>
        <w:numPr>
          <w:ilvl w:val="0"/>
          <w:numId w:val="8"/>
        </w:numPr>
        <w:spacing w:after="0" w:line="240" w:lineRule="auto"/>
        <w:rPr>
          <w:rFonts w:ascii="Calibri" w:hAnsi="Calibri" w:cs="Arial"/>
          <w:b/>
          <w:sz w:val="22"/>
        </w:rPr>
      </w:pPr>
      <w:r w:rsidRPr="002618C2">
        <w:rPr>
          <w:rFonts w:ascii="Calibri" w:hAnsi="Calibri" w:cs="Arial"/>
          <w:sz w:val="22"/>
        </w:rPr>
        <w:t>Treatment planning</w:t>
      </w:r>
      <w:r w:rsidR="00661013" w:rsidRPr="002618C2">
        <w:rPr>
          <w:rFonts w:ascii="Calibri" w:hAnsi="Calibri" w:cs="Arial"/>
          <w:sz w:val="22"/>
        </w:rPr>
        <w:t xml:space="preserve"> strategies</w:t>
      </w:r>
      <w:r w:rsidR="005F425A" w:rsidRPr="002618C2">
        <w:rPr>
          <w:rFonts w:ascii="Calibri" w:hAnsi="Calibri" w:cs="Arial"/>
          <w:sz w:val="22"/>
        </w:rPr>
        <w:t xml:space="preserve"> </w:t>
      </w:r>
      <w:r w:rsidRPr="002618C2">
        <w:rPr>
          <w:rFonts w:ascii="Calibri" w:hAnsi="Calibri" w:cs="Arial"/>
          <w:sz w:val="22"/>
        </w:rPr>
        <w:t xml:space="preserve"> for Periodontal Case types </w:t>
      </w:r>
      <w:r w:rsidR="003C6034" w:rsidRPr="002618C2">
        <w:rPr>
          <w:rFonts w:ascii="Calibri" w:hAnsi="Calibri" w:cs="Arial"/>
          <w:sz w:val="22"/>
        </w:rPr>
        <w:t>I</w:t>
      </w:r>
      <w:r w:rsidR="003F01EC">
        <w:rPr>
          <w:rFonts w:ascii="Calibri" w:hAnsi="Calibri" w:cs="Arial"/>
          <w:sz w:val="22"/>
        </w:rPr>
        <w:t>II</w:t>
      </w:r>
      <w:r w:rsidRPr="002618C2">
        <w:rPr>
          <w:rFonts w:ascii="Calibri" w:hAnsi="Calibri" w:cs="Arial"/>
          <w:sz w:val="22"/>
        </w:rPr>
        <w:t>-IV</w:t>
      </w:r>
      <w:r w:rsidR="005F425A" w:rsidRPr="002618C2">
        <w:rPr>
          <w:rFonts w:ascii="Calibri" w:hAnsi="Calibri" w:cs="Arial"/>
          <w:sz w:val="22"/>
        </w:rPr>
        <w:t xml:space="preserve">       </w:t>
      </w:r>
    </w:p>
    <w:p w:rsidR="005F425A" w:rsidRPr="002618C2" w:rsidRDefault="001638FC" w:rsidP="005F425A">
      <w:pPr>
        <w:pStyle w:val="ListParagraph"/>
        <w:numPr>
          <w:ilvl w:val="0"/>
          <w:numId w:val="8"/>
        </w:numPr>
        <w:spacing w:after="0" w:line="240" w:lineRule="auto"/>
        <w:rPr>
          <w:rFonts w:ascii="Calibri" w:hAnsi="Calibri" w:cs="Arial"/>
          <w:b/>
          <w:sz w:val="22"/>
        </w:rPr>
      </w:pPr>
      <w:r w:rsidRPr="002618C2">
        <w:rPr>
          <w:rFonts w:ascii="Calibri" w:hAnsi="Calibri" w:cs="Arial"/>
          <w:sz w:val="22"/>
        </w:rPr>
        <w:t>Ultrasonic Instrumentation</w:t>
      </w:r>
    </w:p>
    <w:p w:rsidR="001638FC" w:rsidRPr="002618C2" w:rsidRDefault="001638FC" w:rsidP="005F425A">
      <w:pPr>
        <w:pStyle w:val="ListParagraph"/>
        <w:numPr>
          <w:ilvl w:val="0"/>
          <w:numId w:val="8"/>
        </w:numPr>
        <w:spacing w:after="0" w:line="240" w:lineRule="auto"/>
        <w:rPr>
          <w:rFonts w:ascii="Calibri" w:hAnsi="Calibri" w:cs="Arial"/>
          <w:b/>
          <w:sz w:val="22"/>
        </w:rPr>
      </w:pPr>
      <w:r w:rsidRPr="002618C2">
        <w:rPr>
          <w:rFonts w:ascii="Calibri" w:hAnsi="Calibri" w:cs="Arial"/>
          <w:sz w:val="22"/>
        </w:rPr>
        <w:t>Air Abrasives</w:t>
      </w:r>
    </w:p>
    <w:p w:rsidR="005F425A" w:rsidRPr="002618C2" w:rsidRDefault="00602766" w:rsidP="005F425A">
      <w:pPr>
        <w:numPr>
          <w:ilvl w:val="0"/>
          <w:numId w:val="8"/>
        </w:numPr>
        <w:spacing w:after="0" w:line="240" w:lineRule="auto"/>
        <w:rPr>
          <w:rFonts w:ascii="Calibri" w:hAnsi="Calibri" w:cs="Arial"/>
          <w:b/>
          <w:sz w:val="22"/>
        </w:rPr>
      </w:pPr>
      <w:r w:rsidRPr="002618C2">
        <w:rPr>
          <w:rFonts w:ascii="Calibri" w:hAnsi="Calibri" w:cs="Arial"/>
          <w:sz w:val="22"/>
        </w:rPr>
        <w:t>Oral irrigation/chemotherapeutics/medicaments</w:t>
      </w:r>
    </w:p>
    <w:p w:rsidR="00602766" w:rsidRPr="002618C2" w:rsidRDefault="00602766" w:rsidP="005F425A">
      <w:pPr>
        <w:numPr>
          <w:ilvl w:val="0"/>
          <w:numId w:val="8"/>
        </w:numPr>
        <w:spacing w:after="0" w:line="240" w:lineRule="auto"/>
        <w:rPr>
          <w:rFonts w:ascii="Calibri" w:hAnsi="Calibri" w:cs="Arial"/>
          <w:b/>
          <w:sz w:val="22"/>
        </w:rPr>
      </w:pPr>
      <w:r w:rsidRPr="002618C2">
        <w:rPr>
          <w:rFonts w:ascii="Calibri" w:hAnsi="Calibri" w:cs="Arial"/>
          <w:sz w:val="22"/>
        </w:rPr>
        <w:t xml:space="preserve">Intra Oral </w:t>
      </w:r>
      <w:r w:rsidR="001638FC" w:rsidRPr="002618C2">
        <w:rPr>
          <w:rFonts w:ascii="Calibri" w:hAnsi="Calibri" w:cs="Arial"/>
          <w:sz w:val="22"/>
        </w:rPr>
        <w:t>Photography</w:t>
      </w:r>
    </w:p>
    <w:p w:rsidR="00661013" w:rsidRPr="002618C2" w:rsidRDefault="001638FC" w:rsidP="005F425A">
      <w:pPr>
        <w:numPr>
          <w:ilvl w:val="0"/>
          <w:numId w:val="8"/>
        </w:numPr>
        <w:spacing w:after="0" w:line="240" w:lineRule="auto"/>
        <w:rPr>
          <w:rFonts w:ascii="Calibri" w:hAnsi="Calibri" w:cs="Arial"/>
          <w:b/>
          <w:sz w:val="22"/>
        </w:rPr>
      </w:pPr>
      <w:r w:rsidRPr="002618C2">
        <w:rPr>
          <w:rFonts w:ascii="Calibri" w:hAnsi="Calibri" w:cs="Arial"/>
          <w:sz w:val="22"/>
        </w:rPr>
        <w:t xml:space="preserve">Pulp Vitality </w:t>
      </w:r>
    </w:p>
    <w:p w:rsidR="00BC3E1E" w:rsidRPr="002618C2" w:rsidRDefault="00BC3E1E" w:rsidP="005F425A">
      <w:pPr>
        <w:numPr>
          <w:ilvl w:val="0"/>
          <w:numId w:val="8"/>
        </w:numPr>
        <w:spacing w:after="0" w:line="240" w:lineRule="auto"/>
        <w:rPr>
          <w:rFonts w:ascii="Calibri" w:hAnsi="Calibri" w:cs="Arial"/>
          <w:b/>
          <w:sz w:val="22"/>
        </w:rPr>
      </w:pPr>
      <w:r w:rsidRPr="002618C2">
        <w:rPr>
          <w:rFonts w:ascii="Calibri" w:hAnsi="Calibri" w:cs="Arial"/>
          <w:sz w:val="22"/>
        </w:rPr>
        <w:t>PSR</w:t>
      </w:r>
    </w:p>
    <w:p w:rsidR="00661013" w:rsidRPr="002618C2" w:rsidRDefault="001638FC" w:rsidP="005F425A">
      <w:pPr>
        <w:numPr>
          <w:ilvl w:val="0"/>
          <w:numId w:val="8"/>
        </w:numPr>
        <w:spacing w:after="0" w:line="240" w:lineRule="auto"/>
        <w:rPr>
          <w:rFonts w:ascii="Calibri" w:hAnsi="Calibri" w:cs="Arial"/>
          <w:b/>
          <w:sz w:val="22"/>
        </w:rPr>
      </w:pPr>
      <w:r w:rsidRPr="002618C2">
        <w:rPr>
          <w:rFonts w:ascii="Calibri" w:hAnsi="Calibri" w:cs="Arial"/>
          <w:sz w:val="22"/>
        </w:rPr>
        <w:t xml:space="preserve">Root </w:t>
      </w:r>
      <w:proofErr w:type="spellStart"/>
      <w:r w:rsidRPr="002618C2">
        <w:rPr>
          <w:rFonts w:ascii="Calibri" w:hAnsi="Calibri" w:cs="Arial"/>
          <w:sz w:val="22"/>
        </w:rPr>
        <w:t>Planing</w:t>
      </w:r>
      <w:proofErr w:type="spellEnd"/>
      <w:r w:rsidRPr="002618C2">
        <w:rPr>
          <w:rFonts w:ascii="Calibri" w:hAnsi="Calibri" w:cs="Arial"/>
          <w:sz w:val="22"/>
        </w:rPr>
        <w:t>/Re-evaluation</w:t>
      </w:r>
    </w:p>
    <w:p w:rsidR="003C0E0E" w:rsidRPr="002618C2" w:rsidRDefault="003C0E0E" w:rsidP="005F425A">
      <w:pPr>
        <w:numPr>
          <w:ilvl w:val="0"/>
          <w:numId w:val="8"/>
        </w:numPr>
        <w:spacing w:after="0" w:line="240" w:lineRule="auto"/>
        <w:rPr>
          <w:rFonts w:ascii="Calibri" w:hAnsi="Calibri" w:cs="Arial"/>
          <w:b/>
          <w:sz w:val="22"/>
        </w:rPr>
      </w:pPr>
      <w:r w:rsidRPr="002618C2">
        <w:rPr>
          <w:rFonts w:ascii="Calibri" w:hAnsi="Calibri" w:cs="Arial"/>
          <w:sz w:val="22"/>
        </w:rPr>
        <w:t>Alternative Fulcrums</w:t>
      </w:r>
    </w:p>
    <w:p w:rsidR="00AD2F05" w:rsidRPr="002618C2" w:rsidRDefault="001638FC" w:rsidP="005F425A">
      <w:pPr>
        <w:numPr>
          <w:ilvl w:val="0"/>
          <w:numId w:val="8"/>
        </w:numPr>
        <w:spacing w:after="0" w:line="240" w:lineRule="auto"/>
        <w:rPr>
          <w:rFonts w:ascii="Calibri" w:hAnsi="Calibri" w:cs="Arial"/>
          <w:b/>
          <w:sz w:val="22"/>
        </w:rPr>
      </w:pPr>
      <w:r w:rsidRPr="002618C2">
        <w:rPr>
          <w:rFonts w:ascii="Calibri" w:hAnsi="Calibri" w:cs="Arial"/>
          <w:sz w:val="22"/>
        </w:rPr>
        <w:t xml:space="preserve">Case presentation </w:t>
      </w:r>
      <w:r w:rsidR="00BC3E1E" w:rsidRPr="002618C2">
        <w:rPr>
          <w:rFonts w:ascii="Calibri" w:hAnsi="Calibri" w:cs="Arial"/>
          <w:sz w:val="22"/>
        </w:rPr>
        <w:t>design and development</w:t>
      </w:r>
    </w:p>
    <w:p w:rsidR="00BC3E1E" w:rsidRPr="002618C2" w:rsidRDefault="00BC3E1E" w:rsidP="005F425A">
      <w:pPr>
        <w:numPr>
          <w:ilvl w:val="0"/>
          <w:numId w:val="8"/>
        </w:numPr>
        <w:spacing w:after="0" w:line="240" w:lineRule="auto"/>
        <w:rPr>
          <w:rFonts w:ascii="Calibri" w:hAnsi="Calibri" w:cs="Arial"/>
          <w:b/>
          <w:sz w:val="22"/>
        </w:rPr>
      </w:pPr>
      <w:r w:rsidRPr="002618C2">
        <w:rPr>
          <w:rFonts w:ascii="Calibri" w:hAnsi="Calibri" w:cs="Arial"/>
          <w:sz w:val="22"/>
        </w:rPr>
        <w:t>Maintenance Care</w:t>
      </w:r>
    </w:p>
    <w:p w:rsidR="005F425A" w:rsidRPr="005F425A" w:rsidRDefault="005F425A" w:rsidP="00661013">
      <w:pPr>
        <w:pStyle w:val="ListParagraph"/>
        <w:spacing w:after="0" w:line="240" w:lineRule="auto"/>
        <w:rPr>
          <w:rFonts w:ascii="Calibri" w:hAnsi="Calibri" w:cs="Arial"/>
          <w:b/>
          <w:sz w:val="22"/>
        </w:rPr>
      </w:pPr>
    </w:p>
    <w:p w:rsidR="00FD4DEE" w:rsidRPr="001715A0" w:rsidRDefault="008D6C9D" w:rsidP="00862C96">
      <w:pPr>
        <w:tabs>
          <w:tab w:val="left" w:pos="4140"/>
        </w:tabs>
        <w:spacing w:after="0"/>
        <w:rPr>
          <w:b/>
          <w:caps/>
        </w:rPr>
      </w:pPr>
      <w:r w:rsidRPr="001715A0">
        <w:rPr>
          <w:b/>
          <w:caps/>
        </w:rPr>
        <w:object w:dxaOrig="225" w:dyaOrig="225">
          <v:shape id="_x0000_i1087" type="#_x0000_t75" style="width:163pt;height:19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8"/>
        <w:gridCol w:w="3294"/>
        <w:gridCol w:w="3168"/>
      </w:tblGrid>
      <w:tr w:rsidR="00FD4DEE" w:rsidRPr="001715A0" w:rsidTr="006D60F0">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D07331" w:rsidRPr="001715A0" w:rsidTr="006D60F0">
        <w:trPr>
          <w:cnfStyle w:val="000000100000"/>
          <w:trHeight w:val="223"/>
        </w:trPr>
        <w:tc>
          <w:tcPr>
            <w:cnfStyle w:val="001000000000"/>
            <w:tcW w:w="3168" w:type="dxa"/>
            <w:tcBorders>
              <w:left w:val="none" w:sz="0" w:space="0" w:color="auto"/>
              <w:right w:val="none" w:sz="0" w:space="0" w:color="auto"/>
            </w:tcBorders>
          </w:tcPr>
          <w:p w:rsidR="00D07331" w:rsidRPr="00C7481C" w:rsidRDefault="00D07331" w:rsidP="002618C2">
            <w:pPr>
              <w:tabs>
                <w:tab w:val="left" w:pos="4140"/>
              </w:tabs>
              <w:spacing w:line="276" w:lineRule="auto"/>
              <w:rPr>
                <w:b w:val="0"/>
                <w:color w:val="auto"/>
                <w:szCs w:val="20"/>
              </w:rPr>
            </w:pPr>
            <w:r>
              <w:rPr>
                <w:b w:val="0"/>
                <w:color w:val="auto"/>
                <w:szCs w:val="20"/>
              </w:rPr>
              <w:t xml:space="preserve">Discuss and prepare </w:t>
            </w:r>
            <w:r w:rsidR="006D60F0">
              <w:rPr>
                <w:b w:val="0"/>
                <w:color w:val="auto"/>
                <w:szCs w:val="20"/>
              </w:rPr>
              <w:t xml:space="preserve">a </w:t>
            </w:r>
            <w:r>
              <w:rPr>
                <w:b w:val="0"/>
                <w:color w:val="auto"/>
                <w:szCs w:val="20"/>
              </w:rPr>
              <w:t>DHCP for periodontal case type III-IV patients.</w:t>
            </w:r>
          </w:p>
        </w:tc>
        <w:tc>
          <w:tcPr>
            <w:tcW w:w="3294" w:type="dxa"/>
            <w:tcBorders>
              <w:left w:val="none" w:sz="0" w:space="0" w:color="auto"/>
              <w:right w:val="none" w:sz="0" w:space="0" w:color="auto"/>
            </w:tcBorders>
            <w:shd w:val="clear" w:color="auto" w:fill="auto"/>
          </w:tcPr>
          <w:p w:rsidR="00D07331" w:rsidRDefault="00D07331" w:rsidP="00D07331">
            <w:pPr>
              <w:tabs>
                <w:tab w:val="left" w:pos="4140"/>
              </w:tabs>
              <w:cnfStyle w:val="000000100000"/>
            </w:pPr>
            <w:r>
              <w:t>Multiple choice and/or case scenario examination questions.</w:t>
            </w:r>
          </w:p>
          <w:p w:rsidR="00D07331" w:rsidRDefault="00D07331" w:rsidP="00D07331">
            <w:pPr>
              <w:tabs>
                <w:tab w:val="left" w:pos="4140"/>
              </w:tabs>
              <w:cnfStyle w:val="000000100000"/>
            </w:pPr>
          </w:p>
          <w:p w:rsidR="00D07331" w:rsidRPr="00D07331" w:rsidRDefault="00D07331" w:rsidP="00D07331">
            <w:pPr>
              <w:tabs>
                <w:tab w:val="left" w:pos="4140"/>
              </w:tabs>
              <w:cnfStyle w:val="000000100000"/>
            </w:pPr>
            <w:r>
              <w:t>Dental Hygiene Care Plan for Periodontal Case Type III-IV patient</w:t>
            </w:r>
          </w:p>
        </w:tc>
        <w:tc>
          <w:tcPr>
            <w:tcW w:w="3168" w:type="dxa"/>
            <w:tcBorders>
              <w:left w:val="none" w:sz="0" w:space="0" w:color="auto"/>
              <w:right w:val="none" w:sz="0" w:space="0" w:color="auto"/>
            </w:tcBorders>
          </w:tcPr>
          <w:p w:rsidR="00D07331" w:rsidRPr="001715A0" w:rsidRDefault="006D60F0" w:rsidP="00AD2F05">
            <w:pPr>
              <w:tabs>
                <w:tab w:val="left" w:pos="4140"/>
              </w:tabs>
              <w:spacing w:line="276" w:lineRule="auto"/>
              <w:cnfStyle w:val="000000100000"/>
              <w:rPr>
                <w:color w:val="auto"/>
              </w:rPr>
            </w:pPr>
            <w:r>
              <w:rPr>
                <w:color w:val="auto"/>
              </w:rPr>
              <w:t>CT</w:t>
            </w:r>
          </w:p>
        </w:tc>
      </w:tr>
      <w:tr w:rsidR="00D07331" w:rsidRPr="001715A0" w:rsidTr="006D60F0">
        <w:tc>
          <w:tcPr>
            <w:cnfStyle w:val="001000000000"/>
            <w:tcW w:w="3168" w:type="dxa"/>
          </w:tcPr>
          <w:p w:rsidR="00D07331" w:rsidRPr="00C7481C" w:rsidRDefault="006D60F0" w:rsidP="001B79BC">
            <w:pPr>
              <w:tabs>
                <w:tab w:val="left" w:pos="4140"/>
              </w:tabs>
              <w:spacing w:line="276" w:lineRule="auto"/>
              <w:rPr>
                <w:b w:val="0"/>
                <w:color w:val="auto"/>
                <w:szCs w:val="20"/>
              </w:rPr>
            </w:pPr>
            <w:r>
              <w:rPr>
                <w:b w:val="0"/>
                <w:color w:val="auto"/>
              </w:rPr>
              <w:t>Differentiate between</w:t>
            </w:r>
            <w:r w:rsidR="00D07331">
              <w:rPr>
                <w:b w:val="0"/>
                <w:color w:val="auto"/>
              </w:rPr>
              <w:t xml:space="preserve"> the use of the intra oral camera, ultrasonic and air abrasive equipment as assessment and treatment interventions used in the delivery of patient care services.</w:t>
            </w:r>
          </w:p>
        </w:tc>
        <w:tc>
          <w:tcPr>
            <w:tcW w:w="3294" w:type="dxa"/>
            <w:shd w:val="clear" w:color="auto" w:fill="auto"/>
          </w:tcPr>
          <w:p w:rsidR="00D07331" w:rsidRPr="00D07331" w:rsidRDefault="00D07331" w:rsidP="00D07331">
            <w:pPr>
              <w:tabs>
                <w:tab w:val="left" w:pos="4140"/>
              </w:tabs>
              <w:cnfStyle w:val="000000000000"/>
            </w:pPr>
            <w:r w:rsidRPr="00D07331">
              <w:t>Multiple choice and/or case scenario examination questions.</w:t>
            </w:r>
          </w:p>
        </w:tc>
        <w:tc>
          <w:tcPr>
            <w:tcW w:w="3168" w:type="dxa"/>
          </w:tcPr>
          <w:p w:rsidR="00D07331" w:rsidRPr="001715A0" w:rsidRDefault="00D07331" w:rsidP="003F01EC">
            <w:pPr>
              <w:tabs>
                <w:tab w:val="left" w:pos="4140"/>
              </w:tabs>
              <w:spacing w:line="276" w:lineRule="auto"/>
              <w:cnfStyle w:val="000000000000"/>
              <w:rPr>
                <w:color w:val="auto"/>
              </w:rPr>
            </w:pPr>
          </w:p>
        </w:tc>
      </w:tr>
      <w:tr w:rsidR="00D07331" w:rsidRPr="001715A0" w:rsidTr="006D60F0">
        <w:trPr>
          <w:cnfStyle w:val="000000100000"/>
        </w:trPr>
        <w:tc>
          <w:tcPr>
            <w:cnfStyle w:val="001000000000"/>
            <w:tcW w:w="3168" w:type="dxa"/>
            <w:tcBorders>
              <w:left w:val="none" w:sz="0" w:space="0" w:color="auto"/>
              <w:right w:val="none" w:sz="0" w:space="0" w:color="auto"/>
            </w:tcBorders>
          </w:tcPr>
          <w:p w:rsidR="00D07331" w:rsidRPr="000744B8" w:rsidRDefault="006D60F0" w:rsidP="006D60F0">
            <w:pPr>
              <w:tabs>
                <w:tab w:val="left" w:pos="4140"/>
              </w:tabs>
              <w:spacing w:line="276" w:lineRule="auto"/>
              <w:rPr>
                <w:b w:val="0"/>
                <w:color w:val="auto"/>
              </w:rPr>
            </w:pPr>
            <w:r>
              <w:rPr>
                <w:b w:val="0"/>
                <w:color w:val="auto"/>
              </w:rPr>
              <w:t>Examine</w:t>
            </w:r>
            <w:r w:rsidR="00D07331">
              <w:rPr>
                <w:b w:val="0"/>
                <w:color w:val="auto"/>
              </w:rPr>
              <w:t xml:space="preserve"> </w:t>
            </w:r>
            <w:r>
              <w:rPr>
                <w:b w:val="0"/>
                <w:color w:val="auto"/>
              </w:rPr>
              <w:t xml:space="preserve">the criteria and proper root </w:t>
            </w:r>
            <w:proofErr w:type="spellStart"/>
            <w:r>
              <w:rPr>
                <w:b w:val="0"/>
                <w:color w:val="auto"/>
              </w:rPr>
              <w:t>planing</w:t>
            </w:r>
            <w:proofErr w:type="spellEnd"/>
            <w:r>
              <w:rPr>
                <w:b w:val="0"/>
                <w:color w:val="auto"/>
              </w:rPr>
              <w:t xml:space="preserve"> techniques in the treatment of advanced periodontal case types</w:t>
            </w:r>
            <w:r w:rsidR="00D07331">
              <w:rPr>
                <w:b w:val="0"/>
                <w:color w:val="auto"/>
              </w:rPr>
              <w:t>.</w:t>
            </w:r>
          </w:p>
        </w:tc>
        <w:tc>
          <w:tcPr>
            <w:tcW w:w="3294" w:type="dxa"/>
            <w:tcBorders>
              <w:left w:val="none" w:sz="0" w:space="0" w:color="auto"/>
              <w:right w:val="none" w:sz="0" w:space="0" w:color="auto"/>
            </w:tcBorders>
            <w:shd w:val="clear" w:color="auto" w:fill="auto"/>
          </w:tcPr>
          <w:p w:rsidR="00D07331" w:rsidRPr="00D07331" w:rsidRDefault="00D07331" w:rsidP="00D07331">
            <w:pPr>
              <w:tabs>
                <w:tab w:val="left" w:pos="4140"/>
              </w:tabs>
              <w:cnfStyle w:val="000000100000"/>
            </w:pPr>
            <w:r w:rsidRPr="00D07331">
              <w:t>Multiple choice and/or case scenario examination questions.</w:t>
            </w:r>
          </w:p>
        </w:tc>
        <w:tc>
          <w:tcPr>
            <w:tcW w:w="3168" w:type="dxa"/>
            <w:tcBorders>
              <w:left w:val="none" w:sz="0" w:space="0" w:color="auto"/>
              <w:right w:val="none" w:sz="0" w:space="0" w:color="auto"/>
            </w:tcBorders>
          </w:tcPr>
          <w:p w:rsidR="00D07331" w:rsidRPr="001715A0" w:rsidRDefault="00D07331" w:rsidP="005A220D">
            <w:pPr>
              <w:tabs>
                <w:tab w:val="left" w:pos="4140"/>
              </w:tabs>
              <w:spacing w:line="276" w:lineRule="auto"/>
              <w:cnfStyle w:val="000000100000"/>
              <w:rPr>
                <w:color w:val="auto"/>
              </w:rPr>
            </w:pPr>
          </w:p>
        </w:tc>
      </w:tr>
      <w:tr w:rsidR="00D07331" w:rsidRPr="001715A0" w:rsidTr="006D60F0">
        <w:tc>
          <w:tcPr>
            <w:cnfStyle w:val="001000000000"/>
            <w:tcW w:w="3168" w:type="dxa"/>
          </w:tcPr>
          <w:p w:rsidR="00D07331" w:rsidRPr="00C7481C" w:rsidRDefault="00D07331" w:rsidP="001B79BC">
            <w:pPr>
              <w:tabs>
                <w:tab w:val="left" w:pos="4140"/>
              </w:tabs>
              <w:spacing w:line="276" w:lineRule="auto"/>
              <w:rPr>
                <w:b w:val="0"/>
                <w:color w:val="auto"/>
              </w:rPr>
            </w:pPr>
            <w:r>
              <w:rPr>
                <w:b w:val="0"/>
                <w:color w:val="auto"/>
              </w:rPr>
              <w:t>Evaluate the use of the PSR and pulp vitality techniques to access patient clinical findings and symptoms of pain or discomfort.</w:t>
            </w:r>
          </w:p>
        </w:tc>
        <w:tc>
          <w:tcPr>
            <w:tcW w:w="3294" w:type="dxa"/>
            <w:shd w:val="clear" w:color="auto" w:fill="auto"/>
          </w:tcPr>
          <w:p w:rsidR="00D07331" w:rsidRPr="006D60F0" w:rsidRDefault="006D60F0" w:rsidP="006D60F0">
            <w:pPr>
              <w:tabs>
                <w:tab w:val="left" w:pos="4140"/>
              </w:tabs>
              <w:cnfStyle w:val="000000000000"/>
            </w:pPr>
            <w:r w:rsidRPr="006D60F0">
              <w:t>Multiple choice and/or case scenario examination questions.</w:t>
            </w:r>
          </w:p>
        </w:tc>
        <w:tc>
          <w:tcPr>
            <w:tcW w:w="3168" w:type="dxa"/>
          </w:tcPr>
          <w:p w:rsidR="00D07331" w:rsidRPr="001715A0" w:rsidRDefault="00D07331" w:rsidP="005A220D">
            <w:pPr>
              <w:tabs>
                <w:tab w:val="left" w:pos="4140"/>
              </w:tabs>
              <w:spacing w:line="276" w:lineRule="auto"/>
              <w:cnfStyle w:val="000000000000"/>
              <w:rPr>
                <w:color w:val="auto"/>
              </w:rPr>
            </w:pPr>
          </w:p>
        </w:tc>
      </w:tr>
      <w:tr w:rsidR="00D07331" w:rsidRPr="001715A0" w:rsidTr="006D60F0">
        <w:trPr>
          <w:cnfStyle w:val="000000100000"/>
          <w:trHeight w:val="223"/>
        </w:trPr>
        <w:tc>
          <w:tcPr>
            <w:cnfStyle w:val="001000000000"/>
            <w:tcW w:w="3168" w:type="dxa"/>
            <w:tcBorders>
              <w:left w:val="none" w:sz="0" w:space="0" w:color="auto"/>
              <w:right w:val="none" w:sz="0" w:space="0" w:color="auto"/>
            </w:tcBorders>
          </w:tcPr>
          <w:p w:rsidR="00D07331" w:rsidRPr="00364A95" w:rsidRDefault="006D60F0" w:rsidP="001B79BC">
            <w:pPr>
              <w:tabs>
                <w:tab w:val="left" w:pos="4140"/>
              </w:tabs>
              <w:spacing w:line="276" w:lineRule="auto"/>
              <w:rPr>
                <w:b w:val="0"/>
                <w:color w:val="auto"/>
                <w:szCs w:val="20"/>
              </w:rPr>
            </w:pPr>
            <w:r>
              <w:rPr>
                <w:b w:val="0"/>
                <w:color w:val="auto"/>
                <w:szCs w:val="20"/>
              </w:rPr>
              <w:t>Recognize</w:t>
            </w:r>
            <w:r w:rsidR="00D07331">
              <w:rPr>
                <w:b w:val="0"/>
                <w:color w:val="auto"/>
                <w:szCs w:val="20"/>
              </w:rPr>
              <w:t xml:space="preserve"> the components involved in the design and development of a case study.</w:t>
            </w:r>
          </w:p>
        </w:tc>
        <w:tc>
          <w:tcPr>
            <w:tcW w:w="3294" w:type="dxa"/>
            <w:tcBorders>
              <w:left w:val="none" w:sz="0" w:space="0" w:color="auto"/>
              <w:right w:val="none" w:sz="0" w:space="0" w:color="auto"/>
            </w:tcBorders>
            <w:shd w:val="clear" w:color="auto" w:fill="auto"/>
          </w:tcPr>
          <w:p w:rsidR="00D07331" w:rsidRPr="006D60F0" w:rsidRDefault="006D60F0" w:rsidP="006D60F0">
            <w:pPr>
              <w:tabs>
                <w:tab w:val="left" w:pos="4140"/>
              </w:tabs>
              <w:cnfStyle w:val="000000100000"/>
            </w:pPr>
            <w:r w:rsidRPr="00D07331">
              <w:t>Multiple choice and/or case scenario examination questions.</w:t>
            </w:r>
          </w:p>
        </w:tc>
        <w:tc>
          <w:tcPr>
            <w:tcW w:w="3168" w:type="dxa"/>
            <w:tcBorders>
              <w:left w:val="none" w:sz="0" w:space="0" w:color="auto"/>
              <w:right w:val="none" w:sz="0" w:space="0" w:color="auto"/>
            </w:tcBorders>
          </w:tcPr>
          <w:p w:rsidR="00D07331" w:rsidRPr="001715A0" w:rsidRDefault="00D07331" w:rsidP="005A220D">
            <w:pPr>
              <w:tabs>
                <w:tab w:val="left" w:pos="4140"/>
              </w:tabs>
              <w:spacing w:line="276" w:lineRule="auto"/>
              <w:cnfStyle w:val="000000100000"/>
              <w:rPr>
                <w:color w:val="auto"/>
              </w:rPr>
            </w:pPr>
          </w:p>
        </w:tc>
      </w:tr>
      <w:tr w:rsidR="006D60F0" w:rsidRPr="001715A0" w:rsidTr="006D60F0">
        <w:trPr>
          <w:trHeight w:val="977"/>
        </w:trPr>
        <w:tc>
          <w:tcPr>
            <w:cnfStyle w:val="001000000000"/>
            <w:tcW w:w="3168" w:type="dxa"/>
          </w:tcPr>
          <w:p w:rsidR="006D60F0" w:rsidRDefault="006D60F0" w:rsidP="006D60F0">
            <w:pPr>
              <w:tabs>
                <w:tab w:val="left" w:pos="4140"/>
              </w:tabs>
              <w:rPr>
                <w:b w:val="0"/>
                <w:szCs w:val="20"/>
              </w:rPr>
            </w:pPr>
            <w:r>
              <w:rPr>
                <w:b w:val="0"/>
                <w:szCs w:val="20"/>
              </w:rPr>
              <w:lastRenderedPageBreak/>
              <w:t>Examine the role of the re-evaluation process in the appropriate selection of maintenance care for periodontal case types.</w:t>
            </w:r>
          </w:p>
        </w:tc>
        <w:tc>
          <w:tcPr>
            <w:tcW w:w="3294" w:type="dxa"/>
            <w:shd w:val="clear" w:color="auto" w:fill="auto"/>
          </w:tcPr>
          <w:p w:rsidR="006D60F0" w:rsidRPr="006D60F0" w:rsidRDefault="006D60F0" w:rsidP="006D60F0">
            <w:pPr>
              <w:tabs>
                <w:tab w:val="left" w:pos="4140"/>
              </w:tabs>
              <w:cnfStyle w:val="000000000000"/>
            </w:pPr>
            <w:r w:rsidRPr="006D60F0">
              <w:t>Multiple choice and/or case scenario examination questions.</w:t>
            </w:r>
          </w:p>
        </w:tc>
        <w:tc>
          <w:tcPr>
            <w:tcW w:w="3168" w:type="dxa"/>
          </w:tcPr>
          <w:p w:rsidR="006D60F0" w:rsidRDefault="006D60F0" w:rsidP="005A220D">
            <w:pPr>
              <w:tabs>
                <w:tab w:val="left" w:pos="4140"/>
              </w:tabs>
              <w:cnfStyle w:val="000000000000"/>
            </w:pPr>
          </w:p>
        </w:tc>
      </w:tr>
      <w:tr w:rsidR="00D07331" w:rsidRPr="001715A0" w:rsidTr="006D60F0">
        <w:trPr>
          <w:cnfStyle w:val="000000100000"/>
          <w:trHeight w:val="223"/>
        </w:trPr>
        <w:tc>
          <w:tcPr>
            <w:cnfStyle w:val="001000000000"/>
            <w:tcW w:w="3168" w:type="dxa"/>
            <w:tcBorders>
              <w:left w:val="none" w:sz="0" w:space="0" w:color="auto"/>
              <w:right w:val="none" w:sz="0" w:space="0" w:color="auto"/>
            </w:tcBorders>
          </w:tcPr>
          <w:p w:rsidR="00D07331" w:rsidRDefault="006D60F0" w:rsidP="00B62C3D">
            <w:pPr>
              <w:tabs>
                <w:tab w:val="left" w:pos="4140"/>
              </w:tabs>
              <w:rPr>
                <w:b w:val="0"/>
                <w:szCs w:val="20"/>
              </w:rPr>
            </w:pPr>
            <w:r>
              <w:rPr>
                <w:b w:val="0"/>
                <w:szCs w:val="20"/>
              </w:rPr>
              <w:t>Appraise</w:t>
            </w:r>
            <w:r w:rsidR="00D07331">
              <w:rPr>
                <w:b w:val="0"/>
                <w:szCs w:val="20"/>
              </w:rPr>
              <w:t xml:space="preserve"> the role of and implementation of medicaments, chemotherapeutic agents and/or oral irrigation in the treatment of advanced periodontal patients.</w:t>
            </w:r>
          </w:p>
        </w:tc>
        <w:tc>
          <w:tcPr>
            <w:tcW w:w="3294" w:type="dxa"/>
            <w:tcBorders>
              <w:left w:val="none" w:sz="0" w:space="0" w:color="auto"/>
              <w:right w:val="none" w:sz="0" w:space="0" w:color="auto"/>
            </w:tcBorders>
            <w:shd w:val="clear" w:color="auto" w:fill="auto"/>
          </w:tcPr>
          <w:p w:rsidR="00D07331" w:rsidRPr="006D60F0" w:rsidRDefault="006D60F0" w:rsidP="006D60F0">
            <w:pPr>
              <w:tabs>
                <w:tab w:val="left" w:pos="4140"/>
              </w:tabs>
              <w:cnfStyle w:val="000000100000"/>
            </w:pPr>
            <w:r w:rsidRPr="00D07331">
              <w:t>Multiple choice and/or case scenario examination questions.</w:t>
            </w:r>
          </w:p>
        </w:tc>
        <w:tc>
          <w:tcPr>
            <w:tcW w:w="3168" w:type="dxa"/>
            <w:tcBorders>
              <w:left w:val="none" w:sz="0" w:space="0" w:color="auto"/>
              <w:right w:val="none" w:sz="0" w:space="0" w:color="auto"/>
            </w:tcBorders>
          </w:tcPr>
          <w:p w:rsidR="00D07331" w:rsidRDefault="00D07331" w:rsidP="00D07331">
            <w:pPr>
              <w:tabs>
                <w:tab w:val="left" w:pos="4140"/>
              </w:tabs>
              <w:cnfStyle w:val="000000100000"/>
            </w:pPr>
          </w:p>
        </w:tc>
      </w:tr>
      <w:tr w:rsidR="00D07331" w:rsidRPr="001715A0" w:rsidTr="006D60F0">
        <w:trPr>
          <w:trHeight w:val="223"/>
        </w:trPr>
        <w:tc>
          <w:tcPr>
            <w:cnfStyle w:val="001000000000"/>
            <w:tcW w:w="3168" w:type="dxa"/>
          </w:tcPr>
          <w:p w:rsidR="00D07331" w:rsidRPr="003C0E0E" w:rsidRDefault="006D60F0" w:rsidP="006D60F0">
            <w:pPr>
              <w:tabs>
                <w:tab w:val="left" w:pos="4140"/>
              </w:tabs>
              <w:rPr>
                <w:b w:val="0"/>
                <w:szCs w:val="20"/>
              </w:rPr>
            </w:pPr>
            <w:r>
              <w:rPr>
                <w:b w:val="0"/>
                <w:szCs w:val="20"/>
              </w:rPr>
              <w:t>Evaluate</w:t>
            </w:r>
            <w:r w:rsidR="00D07331" w:rsidRPr="003C0E0E">
              <w:rPr>
                <w:b w:val="0"/>
                <w:szCs w:val="20"/>
              </w:rPr>
              <w:t xml:space="preserve"> the </w:t>
            </w:r>
            <w:r w:rsidR="00D07331">
              <w:rPr>
                <w:b w:val="0"/>
                <w:szCs w:val="20"/>
              </w:rPr>
              <w:t>role of</w:t>
            </w:r>
            <w:r w:rsidR="00D07331" w:rsidRPr="003C0E0E">
              <w:rPr>
                <w:b w:val="0"/>
                <w:szCs w:val="20"/>
              </w:rPr>
              <w:t xml:space="preserve"> alternative fulcrums in the delivery of patient care services.</w:t>
            </w:r>
          </w:p>
        </w:tc>
        <w:tc>
          <w:tcPr>
            <w:tcW w:w="3294" w:type="dxa"/>
            <w:shd w:val="clear" w:color="auto" w:fill="auto"/>
          </w:tcPr>
          <w:p w:rsidR="00D07331" w:rsidRPr="003C0E0E" w:rsidRDefault="006D60F0" w:rsidP="006D60F0">
            <w:pPr>
              <w:tabs>
                <w:tab w:val="left" w:pos="4140"/>
              </w:tabs>
              <w:cnfStyle w:val="000000000000"/>
            </w:pPr>
            <w:r w:rsidRPr="00D07331">
              <w:t>Multiple choice and/or case scenario examination questions.</w:t>
            </w:r>
          </w:p>
        </w:tc>
        <w:tc>
          <w:tcPr>
            <w:tcW w:w="3168" w:type="dxa"/>
          </w:tcPr>
          <w:p w:rsidR="00D07331" w:rsidRDefault="00D07331" w:rsidP="00D07331">
            <w:pPr>
              <w:tabs>
                <w:tab w:val="left" w:pos="4140"/>
              </w:tabs>
              <w:cnfStyle w:val="000000000000"/>
            </w:pPr>
          </w:p>
        </w:tc>
      </w:tr>
      <w:tr w:rsidR="006D60F0" w:rsidRPr="001715A0" w:rsidTr="006D60F0">
        <w:trPr>
          <w:cnfStyle w:val="000000100000"/>
          <w:trHeight w:val="223"/>
        </w:trPr>
        <w:tc>
          <w:tcPr>
            <w:cnfStyle w:val="001000000000"/>
            <w:tcW w:w="3168" w:type="dxa"/>
            <w:tcBorders>
              <w:left w:val="none" w:sz="0" w:space="0" w:color="auto"/>
              <w:right w:val="none" w:sz="0" w:space="0" w:color="auto"/>
            </w:tcBorders>
          </w:tcPr>
          <w:p w:rsidR="006D60F0" w:rsidRDefault="006D60F0" w:rsidP="006D60F0">
            <w:pPr>
              <w:tabs>
                <w:tab w:val="left" w:pos="4140"/>
              </w:tabs>
              <w:rPr>
                <w:b w:val="0"/>
                <w:szCs w:val="20"/>
              </w:rPr>
            </w:pPr>
            <w:r>
              <w:rPr>
                <w:b w:val="0"/>
                <w:szCs w:val="20"/>
              </w:rPr>
              <w:t>Discriminate between the various treatment interventions based on evidence based care.</w:t>
            </w:r>
          </w:p>
        </w:tc>
        <w:tc>
          <w:tcPr>
            <w:tcW w:w="3294" w:type="dxa"/>
            <w:tcBorders>
              <w:left w:val="none" w:sz="0" w:space="0" w:color="auto"/>
              <w:right w:val="none" w:sz="0" w:space="0" w:color="auto"/>
            </w:tcBorders>
            <w:shd w:val="clear" w:color="auto" w:fill="auto"/>
          </w:tcPr>
          <w:p w:rsidR="006D60F0" w:rsidRPr="003C0E0E" w:rsidRDefault="006D60F0" w:rsidP="006D60F0">
            <w:pPr>
              <w:tabs>
                <w:tab w:val="left" w:pos="4140"/>
              </w:tabs>
              <w:cnfStyle w:val="000000100000"/>
            </w:pPr>
            <w:r>
              <w:t>Article Critiques</w:t>
            </w:r>
          </w:p>
        </w:tc>
        <w:tc>
          <w:tcPr>
            <w:tcW w:w="3168" w:type="dxa"/>
            <w:tcBorders>
              <w:left w:val="none" w:sz="0" w:space="0" w:color="auto"/>
              <w:right w:val="none" w:sz="0" w:space="0" w:color="auto"/>
            </w:tcBorders>
          </w:tcPr>
          <w:p w:rsidR="006D60F0" w:rsidRDefault="006D60F0" w:rsidP="00D07331">
            <w:pPr>
              <w:tabs>
                <w:tab w:val="left" w:pos="4140"/>
              </w:tabs>
              <w:cnfStyle w:val="000000100000"/>
            </w:pPr>
            <w:r>
              <w:t>COM</w:t>
            </w: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3C0AFE">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8D6C9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3C0AFE">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3C0AFE">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3C0AFE">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3C0AFE">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3C0AFE">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3C0AFE">
            <w:rPr>
              <w:caps/>
            </w:rPr>
            <w:t>-- NA --</w:t>
          </w:r>
        </w:sdtContent>
      </w:sdt>
    </w:p>
    <w:p w:rsidR="0005678D" w:rsidRDefault="0005678D" w:rsidP="0005678D">
      <w:pPr>
        <w:rPr>
          <w:b/>
          <w:caps/>
        </w:rPr>
      </w:pPr>
    </w:p>
    <w:p w:rsidR="00C21673" w:rsidRDefault="001F116A" w:rsidP="0005678D">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3C0AFE">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3C0AFE">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3C0AFE">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3C0AFE">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3C0AFE">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E97FED" w:rsidRDefault="00D613E6" w:rsidP="00C21673">
      <w:pPr>
        <w:spacing w:after="0"/>
        <w:rPr>
          <w:b/>
        </w:rPr>
      </w:pPr>
      <w:sdt>
        <w:sdtPr>
          <w:id w:val="706025988"/>
          <w:lock w:val="sdtLocked"/>
          <w:placeholder>
            <w:docPart w:val="9E1E59A2518347B1A54E88852AB0CE55"/>
          </w:placeholder>
          <w:text w:multiLine="1"/>
        </w:sdtPr>
        <w:sdtContent>
          <w:r>
            <w:t>The Dental Hygiene program conducts a formal and ongoing review of the curriculum to assure the incorporation of emerging information and to eliminate unwarranted repetition to attain student competence. The faculty reviewed the curriculum and revised the course syllabi to be congruent with the new standards outlined by the Commission on Dental Accreditation, the Florida curriculum frameworks and the Florida state statutes.</w:t>
          </w:r>
        </w:sdtContent>
      </w:sdt>
      <w:r w:rsidR="009B1DF4" w:rsidRPr="00E97FED">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8D6C9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CE4690">
            <w:rPr>
              <w:caps/>
            </w:rPr>
            <w:t>FALL 2013</w:t>
          </w:r>
        </w:sdtContent>
      </w:sdt>
      <w:r w:rsidR="00DE2FB7" w:rsidRPr="001715A0">
        <w:rPr>
          <w:caps/>
        </w:rPr>
        <w:t xml:space="preserve">        </w:t>
      </w:r>
    </w:p>
    <w:p w:rsidR="00DE2FB7" w:rsidRPr="001715A0" w:rsidRDefault="008D6C9D"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D613E6" w:rsidP="00DE2FB7">
      <w:pPr>
        <w:pBdr>
          <w:top w:val="single" w:sz="4" w:space="0" w:color="auto"/>
          <w:left w:val="single" w:sz="4" w:space="5" w:color="auto"/>
          <w:bottom w:val="single" w:sz="4" w:space="0" w:color="auto"/>
          <w:right w:val="single" w:sz="4" w:space="0" w:color="auto"/>
        </w:pBdr>
        <w:spacing w:after="0"/>
        <w:rPr>
          <w:caps/>
        </w:rPr>
      </w:pPr>
      <w:r w:rsidRPr="008D6C9D">
        <w:rPr>
          <w:caps/>
        </w:rPr>
        <w:pict>
          <v:shape id="_x0000_i1051" type="#_x0000_t75" alt="Microsoft Office Signature Line..." style="width:162.5pt;height:80.5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D613E6" w:rsidP="00DE2FB7">
      <w:pPr>
        <w:pBdr>
          <w:top w:val="single" w:sz="4" w:space="1" w:color="auto"/>
          <w:left w:val="single" w:sz="4" w:space="4" w:color="auto"/>
          <w:bottom w:val="single" w:sz="4" w:space="1" w:color="auto"/>
          <w:right w:val="single" w:sz="4" w:space="4" w:color="auto"/>
        </w:pBdr>
        <w:spacing w:after="0"/>
        <w:rPr>
          <w:caps/>
        </w:rPr>
      </w:pPr>
      <w:r w:rsidRPr="008D6C9D">
        <w:rPr>
          <w:caps/>
        </w:rPr>
        <w:pict>
          <v:shape id="_x0000_i1052" type="#_x0000_t75" alt="Microsoft Office Signature Line..." style="width:162.5pt;height:80.5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D6C9D" w:rsidP="00862C96">
      <w:pPr>
        <w:spacing w:after="0"/>
        <w:rPr>
          <w:caps/>
        </w:rPr>
      </w:pPr>
      <w:r w:rsidRPr="001715A0">
        <w:rPr>
          <w:caps/>
        </w:rPr>
        <w:object w:dxaOrig="225" w:dyaOrig="225">
          <v:shape id="_x0000_i1089" type="#_x0000_t75" style="width:496.5pt;height:70pt" o:ole="">
            <v:imagedata r:id="rId36" o:title=""/>
          </v:shape>
          <w:control r:id="rId37" w:name="TextBox4" w:shapeid="_x0000_i1089"/>
        </w:object>
      </w:r>
    </w:p>
    <w:p w:rsidR="0005678D" w:rsidRDefault="0005678D" w:rsidP="00862C96">
      <w:pPr>
        <w:spacing w:after="0"/>
        <w:rPr>
          <w:b/>
          <w:caps/>
        </w:rPr>
      </w:pPr>
    </w:p>
    <w:p w:rsidR="0005678D" w:rsidRDefault="0005678D" w:rsidP="00862C96">
      <w:pPr>
        <w:spacing w:after="0"/>
        <w:rPr>
          <w:b/>
          <w:caps/>
        </w:rPr>
      </w:pPr>
    </w:p>
    <w:p w:rsidR="00E819B1" w:rsidRPr="001715A0" w:rsidRDefault="0019737B" w:rsidP="00862C96">
      <w:pPr>
        <w:spacing w:after="0"/>
        <w:rPr>
          <w:b/>
          <w:caps/>
        </w:rPr>
      </w:pPr>
      <w:r w:rsidRPr="001715A0">
        <w:rPr>
          <w:b/>
          <w:caps/>
        </w:rPr>
        <w:t>DEPARTMENT CHAIR / PROGRAM COORDINATOR ENDORSEMENT:</w:t>
      </w:r>
    </w:p>
    <w:p w:rsidR="0019737B" w:rsidRPr="001715A0" w:rsidRDefault="008D6C9D" w:rsidP="00862C96">
      <w:pPr>
        <w:spacing w:after="0"/>
        <w:rPr>
          <w:caps/>
        </w:rPr>
      </w:pPr>
      <w:r w:rsidRPr="001715A0">
        <w:rPr>
          <w:caps/>
        </w:rPr>
        <w:object w:dxaOrig="225" w:dyaOrig="225">
          <v:shape id="_x0000_i1093" type="#_x0000_t75" style="width:263.5pt;height:23.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FC0667">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D6C9D" w:rsidP="00862C96">
      <w:pPr>
        <w:spacing w:after="0"/>
        <w:rPr>
          <w:caps/>
        </w:rPr>
      </w:pPr>
      <w:r w:rsidRPr="001715A0">
        <w:rPr>
          <w:caps/>
        </w:rPr>
        <w:object w:dxaOrig="225" w:dyaOrig="225">
          <v:shape id="_x0000_i1095" type="#_x0000_t75" style="width:263.5pt;height:24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sidR="00E97FED">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D6C9D" w:rsidP="007233D7">
      <w:pPr>
        <w:spacing w:after="120"/>
        <w:rPr>
          <w:caps/>
        </w:rPr>
      </w:pPr>
      <w:r w:rsidRPr="001715A0">
        <w:rPr>
          <w:caps/>
        </w:rPr>
        <w:object w:dxaOrig="225" w:dyaOrig="225">
          <v:shape id="_x0000_i1097" type="#_x0000_t75" style="width:263.5pt;height:25.5pt" o:ole="">
            <v:imagedata r:id="rId42" o:title=""/>
          </v:shape>
          <w:control r:id="rId43" w:name="TextBox191" w:shapeid="_x0000_i1097"/>
        </w:object>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sidR="00E97FED">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D6C9D" w:rsidP="00862C96">
      <w:pPr>
        <w:spacing w:after="0"/>
        <w:rPr>
          <w:caps/>
        </w:rPr>
      </w:pPr>
      <w:r w:rsidRPr="001715A0">
        <w:rPr>
          <w:caps/>
        </w:rPr>
        <w:object w:dxaOrig="225" w:dyaOrig="225">
          <v:shape id="_x0000_i1099" type="#_x0000_t75" style="width:263.5pt;height:27pt" o:ole="">
            <v:imagedata r:id="rId44" o:title=""/>
          </v:shape>
          <w:control r:id="rId45" w:name="TextBox19" w:shapeid="_x0000_i1099"/>
        </w:object>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sidR="00E97FED">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FC0667">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0F0" w:rsidRDefault="006D60F0" w:rsidP="00FD4DEE">
      <w:pPr>
        <w:spacing w:after="0" w:line="240" w:lineRule="auto"/>
      </w:pPr>
      <w:r>
        <w:separator/>
      </w:r>
    </w:p>
  </w:endnote>
  <w:endnote w:type="continuationSeparator" w:id="0">
    <w:p w:rsidR="006D60F0" w:rsidRDefault="006D60F0"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6D60F0" w:rsidRPr="00451983" w:rsidRDefault="006D60F0"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8D6C9D" w:rsidRPr="00451983">
          <w:rPr>
            <w:sz w:val="16"/>
          </w:rPr>
          <w:fldChar w:fldCharType="begin"/>
        </w:r>
        <w:r w:rsidRPr="00451983">
          <w:rPr>
            <w:sz w:val="16"/>
          </w:rPr>
          <w:instrText xml:space="preserve"> PAGE   \* MERGEFORMAT </w:instrText>
        </w:r>
        <w:r w:rsidR="008D6C9D" w:rsidRPr="00451983">
          <w:rPr>
            <w:sz w:val="16"/>
          </w:rPr>
          <w:fldChar w:fldCharType="separate"/>
        </w:r>
        <w:r w:rsidR="00D613E6">
          <w:rPr>
            <w:noProof/>
            <w:sz w:val="16"/>
          </w:rPr>
          <w:t>4</w:t>
        </w:r>
        <w:r w:rsidR="008D6C9D"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0F0" w:rsidRDefault="006D60F0" w:rsidP="00FD4DEE">
      <w:pPr>
        <w:spacing w:after="0" w:line="240" w:lineRule="auto"/>
      </w:pPr>
      <w:r>
        <w:separator/>
      </w:r>
    </w:p>
  </w:footnote>
  <w:footnote w:type="continuationSeparator" w:id="0">
    <w:p w:rsidR="006D60F0" w:rsidRDefault="006D60F0"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F0" w:rsidRPr="00081C89" w:rsidRDefault="006D60F0" w:rsidP="00FD4DEE">
    <w:pPr>
      <w:pStyle w:val="Header"/>
      <w:jc w:val="center"/>
      <w:rPr>
        <w:b/>
      </w:rPr>
    </w:pPr>
    <w:r w:rsidRPr="00081C89">
      <w:rPr>
        <w:b/>
      </w:rPr>
      <w:t>EDISON STATE COLLEGE</w:t>
    </w:r>
  </w:p>
  <w:p w:rsidR="006D60F0" w:rsidRPr="00FD4DEE" w:rsidRDefault="006D60F0" w:rsidP="00FD4DEE">
    <w:pPr>
      <w:pStyle w:val="Header"/>
      <w:jc w:val="center"/>
    </w:pPr>
    <w:r w:rsidRPr="00FD4DEE">
      <w:t>CURRICULUM COMMITTEE</w:t>
    </w:r>
  </w:p>
  <w:p w:rsidR="006D60F0" w:rsidRPr="00FD4DEE" w:rsidRDefault="006D60F0"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0F0" w:rsidRDefault="006D60F0"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6D60F0" w:rsidRDefault="006D60F0" w:rsidP="00FD4DEE">
    <w:pPr>
      <w:pStyle w:val="Header"/>
      <w:jc w:val="center"/>
    </w:pPr>
  </w:p>
  <w:p w:rsidR="006D60F0" w:rsidRPr="00000F05" w:rsidRDefault="006D60F0" w:rsidP="00FD4DEE">
    <w:pPr>
      <w:pStyle w:val="Header"/>
      <w:jc w:val="center"/>
      <w:rPr>
        <w:b/>
        <w:sz w:val="24"/>
      </w:rPr>
    </w:pPr>
    <w:r w:rsidRPr="00000F05">
      <w:rPr>
        <w:b/>
        <w:sz w:val="24"/>
      </w:rPr>
      <w:t>CURRICULUM COMMITTEE</w:t>
    </w:r>
  </w:p>
  <w:p w:rsidR="006D60F0" w:rsidRPr="00000F05" w:rsidRDefault="006D60F0"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247FB"/>
    <w:multiLevelType w:val="hybridMultilevel"/>
    <w:tmpl w:val="3D844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E755C62"/>
    <w:multiLevelType w:val="hybridMultilevel"/>
    <w:tmpl w:val="C75E05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2EA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6DDE1F17"/>
    <w:multiLevelType w:val="hybridMultilevel"/>
    <w:tmpl w:val="F3408B5C"/>
    <w:lvl w:ilvl="0" w:tplc="CA70D5F6">
      <w:start w:val="1"/>
      <w:numFmt w:val="decimal"/>
      <w:lvlText w:val="%1."/>
      <w:lvlJc w:val="left"/>
      <w:pPr>
        <w:tabs>
          <w:tab w:val="num" w:pos="720"/>
        </w:tabs>
        <w:ind w:left="720" w:hanging="360"/>
      </w:pPr>
    </w:lvl>
    <w:lvl w:ilvl="1" w:tplc="04090001">
      <w:start w:val="1"/>
      <w:numFmt w:val="bullet"/>
      <w:lvlText w:val=""/>
      <w:lvlJc w:val="left"/>
      <w:pPr>
        <w:tabs>
          <w:tab w:val="num" w:pos="1530"/>
        </w:tabs>
        <w:ind w:left="1530" w:hanging="360"/>
      </w:pPr>
      <w:rPr>
        <w:rFonts w:ascii="Symbol" w:hAnsi="Symbol" w:hint="default"/>
        <w:b/>
      </w:rPr>
    </w:lvl>
    <w:lvl w:ilvl="2" w:tplc="949222F8">
      <w:start w:val="1"/>
      <w:numFmt w:val="decimal"/>
      <w:lvlText w:val="%3."/>
      <w:lvlJc w:val="left"/>
      <w:pPr>
        <w:tabs>
          <w:tab w:val="num" w:pos="2160"/>
        </w:tabs>
        <w:ind w:left="2160" w:hanging="360"/>
      </w:pPr>
    </w:lvl>
    <w:lvl w:ilvl="3" w:tplc="C91E3E6C" w:tentative="1">
      <w:start w:val="1"/>
      <w:numFmt w:val="decimal"/>
      <w:lvlText w:val="%4."/>
      <w:lvlJc w:val="left"/>
      <w:pPr>
        <w:tabs>
          <w:tab w:val="num" w:pos="2880"/>
        </w:tabs>
        <w:ind w:left="2880" w:hanging="360"/>
      </w:pPr>
    </w:lvl>
    <w:lvl w:ilvl="4" w:tplc="2D26682A" w:tentative="1">
      <w:start w:val="1"/>
      <w:numFmt w:val="decimal"/>
      <w:lvlText w:val="%5."/>
      <w:lvlJc w:val="left"/>
      <w:pPr>
        <w:tabs>
          <w:tab w:val="num" w:pos="3600"/>
        </w:tabs>
        <w:ind w:left="3600" w:hanging="360"/>
      </w:pPr>
    </w:lvl>
    <w:lvl w:ilvl="5" w:tplc="7518AFE8" w:tentative="1">
      <w:start w:val="1"/>
      <w:numFmt w:val="decimal"/>
      <w:lvlText w:val="%6."/>
      <w:lvlJc w:val="left"/>
      <w:pPr>
        <w:tabs>
          <w:tab w:val="num" w:pos="4320"/>
        </w:tabs>
        <w:ind w:left="4320" w:hanging="360"/>
      </w:pPr>
    </w:lvl>
    <w:lvl w:ilvl="6" w:tplc="C36ECC9C" w:tentative="1">
      <w:start w:val="1"/>
      <w:numFmt w:val="decimal"/>
      <w:lvlText w:val="%7."/>
      <w:lvlJc w:val="left"/>
      <w:pPr>
        <w:tabs>
          <w:tab w:val="num" w:pos="5040"/>
        </w:tabs>
        <w:ind w:left="5040" w:hanging="360"/>
      </w:pPr>
    </w:lvl>
    <w:lvl w:ilvl="7" w:tplc="3B884640" w:tentative="1">
      <w:start w:val="1"/>
      <w:numFmt w:val="decimal"/>
      <w:lvlText w:val="%8."/>
      <w:lvlJc w:val="left"/>
      <w:pPr>
        <w:tabs>
          <w:tab w:val="num" w:pos="5760"/>
        </w:tabs>
        <w:ind w:left="5760" w:hanging="360"/>
      </w:pPr>
    </w:lvl>
    <w:lvl w:ilvl="8" w:tplc="622835BE" w:tentative="1">
      <w:start w:val="1"/>
      <w:numFmt w:val="decimal"/>
      <w:lvlText w:val="%9."/>
      <w:lvlJc w:val="left"/>
      <w:pPr>
        <w:tabs>
          <w:tab w:val="num" w:pos="6480"/>
        </w:tabs>
        <w:ind w:left="6480" w:hanging="360"/>
      </w:pPr>
    </w:lvl>
  </w:abstractNum>
  <w:abstractNum w:abstractNumId="9">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num>
  <w:num w:numId="6">
    <w:abstractNumId w:val="3"/>
  </w:num>
  <w:num w:numId="7">
    <w:abstractNumId w:val="5"/>
  </w:num>
  <w:num w:numId="8">
    <w:abstractNumId w:val="2"/>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4057E"/>
    <w:rsid w:val="0005678D"/>
    <w:rsid w:val="000744B8"/>
    <w:rsid w:val="0007493D"/>
    <w:rsid w:val="00074D2A"/>
    <w:rsid w:val="00074DF9"/>
    <w:rsid w:val="00081C89"/>
    <w:rsid w:val="00092A5F"/>
    <w:rsid w:val="000966E7"/>
    <w:rsid w:val="000C0596"/>
    <w:rsid w:val="000D1BA3"/>
    <w:rsid w:val="000D56EB"/>
    <w:rsid w:val="000E1D88"/>
    <w:rsid w:val="000E4369"/>
    <w:rsid w:val="000E4B24"/>
    <w:rsid w:val="000F072F"/>
    <w:rsid w:val="0011432E"/>
    <w:rsid w:val="00146CF1"/>
    <w:rsid w:val="001474FA"/>
    <w:rsid w:val="001638FC"/>
    <w:rsid w:val="001715A0"/>
    <w:rsid w:val="0019737B"/>
    <w:rsid w:val="001B6498"/>
    <w:rsid w:val="001B66C6"/>
    <w:rsid w:val="001B79BC"/>
    <w:rsid w:val="001C18AE"/>
    <w:rsid w:val="001D3685"/>
    <w:rsid w:val="001E12FC"/>
    <w:rsid w:val="001E3478"/>
    <w:rsid w:val="001F116A"/>
    <w:rsid w:val="00200ACE"/>
    <w:rsid w:val="0020473D"/>
    <w:rsid w:val="00206D68"/>
    <w:rsid w:val="00220FA2"/>
    <w:rsid w:val="00246930"/>
    <w:rsid w:val="00247E98"/>
    <w:rsid w:val="00250B1E"/>
    <w:rsid w:val="002618C2"/>
    <w:rsid w:val="00282D62"/>
    <w:rsid w:val="00293316"/>
    <w:rsid w:val="002952C9"/>
    <w:rsid w:val="002D6038"/>
    <w:rsid w:val="002E56A2"/>
    <w:rsid w:val="002E71D6"/>
    <w:rsid w:val="002F3037"/>
    <w:rsid w:val="00311B56"/>
    <w:rsid w:val="00330F60"/>
    <w:rsid w:val="003374DC"/>
    <w:rsid w:val="00364A95"/>
    <w:rsid w:val="003B4DFA"/>
    <w:rsid w:val="003C0AFE"/>
    <w:rsid w:val="003C0E0E"/>
    <w:rsid w:val="003C6034"/>
    <w:rsid w:val="003D40AC"/>
    <w:rsid w:val="003E33D3"/>
    <w:rsid w:val="003E6472"/>
    <w:rsid w:val="003F01EC"/>
    <w:rsid w:val="004035DD"/>
    <w:rsid w:val="00405A0A"/>
    <w:rsid w:val="00414D40"/>
    <w:rsid w:val="004233B5"/>
    <w:rsid w:val="00431C0A"/>
    <w:rsid w:val="004468B7"/>
    <w:rsid w:val="00451983"/>
    <w:rsid w:val="00460311"/>
    <w:rsid w:val="004630F7"/>
    <w:rsid w:val="0049139C"/>
    <w:rsid w:val="0049214C"/>
    <w:rsid w:val="00492CEA"/>
    <w:rsid w:val="004A2E11"/>
    <w:rsid w:val="004A3EED"/>
    <w:rsid w:val="004A650D"/>
    <w:rsid w:val="004B79EF"/>
    <w:rsid w:val="004F35FB"/>
    <w:rsid w:val="00502B5C"/>
    <w:rsid w:val="005119C1"/>
    <w:rsid w:val="00525C08"/>
    <w:rsid w:val="005339A1"/>
    <w:rsid w:val="00534004"/>
    <w:rsid w:val="00537794"/>
    <w:rsid w:val="00552D66"/>
    <w:rsid w:val="00553FEF"/>
    <w:rsid w:val="00596792"/>
    <w:rsid w:val="005A1D42"/>
    <w:rsid w:val="005A220D"/>
    <w:rsid w:val="005A29BE"/>
    <w:rsid w:val="005C6AF8"/>
    <w:rsid w:val="005E052D"/>
    <w:rsid w:val="005E1651"/>
    <w:rsid w:val="005E1F08"/>
    <w:rsid w:val="005F425A"/>
    <w:rsid w:val="00602709"/>
    <w:rsid w:val="00602766"/>
    <w:rsid w:val="006052B1"/>
    <w:rsid w:val="00626618"/>
    <w:rsid w:val="00627C53"/>
    <w:rsid w:val="00630942"/>
    <w:rsid w:val="00634272"/>
    <w:rsid w:val="00647A07"/>
    <w:rsid w:val="00653AB3"/>
    <w:rsid w:val="00661013"/>
    <w:rsid w:val="00685810"/>
    <w:rsid w:val="006A4707"/>
    <w:rsid w:val="006B01C0"/>
    <w:rsid w:val="006B3626"/>
    <w:rsid w:val="006D60F0"/>
    <w:rsid w:val="006E2DEC"/>
    <w:rsid w:val="0070125D"/>
    <w:rsid w:val="007233D7"/>
    <w:rsid w:val="00726D1E"/>
    <w:rsid w:val="0077712E"/>
    <w:rsid w:val="00785FB3"/>
    <w:rsid w:val="007B5480"/>
    <w:rsid w:val="007C35B3"/>
    <w:rsid w:val="007D0604"/>
    <w:rsid w:val="00801E25"/>
    <w:rsid w:val="00804FD1"/>
    <w:rsid w:val="00824EE7"/>
    <w:rsid w:val="0084629F"/>
    <w:rsid w:val="008470F0"/>
    <w:rsid w:val="00854C80"/>
    <w:rsid w:val="00862C96"/>
    <w:rsid w:val="00864F63"/>
    <w:rsid w:val="00871CD6"/>
    <w:rsid w:val="00872D20"/>
    <w:rsid w:val="0087495E"/>
    <w:rsid w:val="008A3DF8"/>
    <w:rsid w:val="008B271D"/>
    <w:rsid w:val="008B5209"/>
    <w:rsid w:val="008B7824"/>
    <w:rsid w:val="008C3DA5"/>
    <w:rsid w:val="008D4200"/>
    <w:rsid w:val="008D5F1B"/>
    <w:rsid w:val="008D6C9D"/>
    <w:rsid w:val="008F1C26"/>
    <w:rsid w:val="00901EA3"/>
    <w:rsid w:val="00905056"/>
    <w:rsid w:val="00935939"/>
    <w:rsid w:val="0094584E"/>
    <w:rsid w:val="00951692"/>
    <w:rsid w:val="00963892"/>
    <w:rsid w:val="00983BD3"/>
    <w:rsid w:val="00986AE3"/>
    <w:rsid w:val="009A13D1"/>
    <w:rsid w:val="009B1DF4"/>
    <w:rsid w:val="009D37E8"/>
    <w:rsid w:val="009E7A39"/>
    <w:rsid w:val="00A03ECB"/>
    <w:rsid w:val="00A17B20"/>
    <w:rsid w:val="00A17BAC"/>
    <w:rsid w:val="00A26E63"/>
    <w:rsid w:val="00A3612D"/>
    <w:rsid w:val="00A74DFD"/>
    <w:rsid w:val="00A87420"/>
    <w:rsid w:val="00A95B91"/>
    <w:rsid w:val="00AB7E7E"/>
    <w:rsid w:val="00AD2F05"/>
    <w:rsid w:val="00AE5272"/>
    <w:rsid w:val="00AF15F3"/>
    <w:rsid w:val="00AF4B34"/>
    <w:rsid w:val="00B11D07"/>
    <w:rsid w:val="00B1252B"/>
    <w:rsid w:val="00B22AED"/>
    <w:rsid w:val="00B361AB"/>
    <w:rsid w:val="00B361E9"/>
    <w:rsid w:val="00B62C3D"/>
    <w:rsid w:val="00B96807"/>
    <w:rsid w:val="00BB049E"/>
    <w:rsid w:val="00BB270A"/>
    <w:rsid w:val="00BB5F2C"/>
    <w:rsid w:val="00BC3E1E"/>
    <w:rsid w:val="00BC3E96"/>
    <w:rsid w:val="00BD0407"/>
    <w:rsid w:val="00BE1C11"/>
    <w:rsid w:val="00BE58E1"/>
    <w:rsid w:val="00BE7D12"/>
    <w:rsid w:val="00BF3174"/>
    <w:rsid w:val="00C00B57"/>
    <w:rsid w:val="00C071D5"/>
    <w:rsid w:val="00C109E9"/>
    <w:rsid w:val="00C1176C"/>
    <w:rsid w:val="00C11B5F"/>
    <w:rsid w:val="00C209A0"/>
    <w:rsid w:val="00C21673"/>
    <w:rsid w:val="00C37BEC"/>
    <w:rsid w:val="00C43B16"/>
    <w:rsid w:val="00C7481C"/>
    <w:rsid w:val="00C82E26"/>
    <w:rsid w:val="00C96271"/>
    <w:rsid w:val="00CA02D8"/>
    <w:rsid w:val="00CB6AC9"/>
    <w:rsid w:val="00CD1473"/>
    <w:rsid w:val="00CE4690"/>
    <w:rsid w:val="00CF2C08"/>
    <w:rsid w:val="00CF5246"/>
    <w:rsid w:val="00D046B8"/>
    <w:rsid w:val="00D07331"/>
    <w:rsid w:val="00D15183"/>
    <w:rsid w:val="00D31F3F"/>
    <w:rsid w:val="00D40DBF"/>
    <w:rsid w:val="00D5027E"/>
    <w:rsid w:val="00D56DAB"/>
    <w:rsid w:val="00D613E6"/>
    <w:rsid w:val="00D626F1"/>
    <w:rsid w:val="00D8205A"/>
    <w:rsid w:val="00DA344F"/>
    <w:rsid w:val="00DB26D2"/>
    <w:rsid w:val="00DB26E6"/>
    <w:rsid w:val="00DD447B"/>
    <w:rsid w:val="00DE0842"/>
    <w:rsid w:val="00DE2FB7"/>
    <w:rsid w:val="00DF3A34"/>
    <w:rsid w:val="00E24E2F"/>
    <w:rsid w:val="00E41110"/>
    <w:rsid w:val="00E443AF"/>
    <w:rsid w:val="00E54AA7"/>
    <w:rsid w:val="00E55062"/>
    <w:rsid w:val="00E74BC2"/>
    <w:rsid w:val="00E819B1"/>
    <w:rsid w:val="00E83B03"/>
    <w:rsid w:val="00E852F2"/>
    <w:rsid w:val="00E85C72"/>
    <w:rsid w:val="00E9201C"/>
    <w:rsid w:val="00E9708E"/>
    <w:rsid w:val="00E97FED"/>
    <w:rsid w:val="00EA2958"/>
    <w:rsid w:val="00EB6861"/>
    <w:rsid w:val="00ED5D80"/>
    <w:rsid w:val="00ED6E28"/>
    <w:rsid w:val="00EE1FA5"/>
    <w:rsid w:val="00EF0D98"/>
    <w:rsid w:val="00EF40F3"/>
    <w:rsid w:val="00F261C6"/>
    <w:rsid w:val="00F47DC4"/>
    <w:rsid w:val="00F52040"/>
    <w:rsid w:val="00F52B03"/>
    <w:rsid w:val="00F659A6"/>
    <w:rsid w:val="00F677A7"/>
    <w:rsid w:val="00F80DA4"/>
    <w:rsid w:val="00FA14EC"/>
    <w:rsid w:val="00FB2CC5"/>
    <w:rsid w:val="00FC0667"/>
    <w:rsid w:val="00FC7370"/>
    <w:rsid w:val="00FD04E6"/>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F4D3D"/>
    <w:rsid w:val="002E789E"/>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26E93"/>
    <w:rsid w:val="00955F95"/>
    <w:rsid w:val="009602EA"/>
    <w:rsid w:val="009A21B5"/>
    <w:rsid w:val="009B787A"/>
    <w:rsid w:val="00A7046F"/>
    <w:rsid w:val="00B97194"/>
    <w:rsid w:val="00BC5082"/>
    <w:rsid w:val="00C02081"/>
    <w:rsid w:val="00C106D5"/>
    <w:rsid w:val="00C13C8E"/>
    <w:rsid w:val="00C9591C"/>
    <w:rsid w:val="00D45E6C"/>
    <w:rsid w:val="00D65FB7"/>
    <w:rsid w:val="00DE5D9D"/>
    <w:rsid w:val="00E126B2"/>
    <w:rsid w:val="00E93361"/>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787A"/>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CC099FD991EC47D593FB6047EDF5699C">
    <w:name w:val="CC099FD991EC47D593FB6047EDF5699C"/>
    <w:rsid w:val="009B787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DA030-AFA7-4911-ACF6-85694104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2011-08-30T14:20:00Z</cp:lastPrinted>
  <dcterms:created xsi:type="dcterms:W3CDTF">2012-09-26T20:55:00Z</dcterms:created>
  <dcterms:modified xsi:type="dcterms:W3CDTF">2012-11-02T17:09:00Z</dcterms:modified>
</cp:coreProperties>
</file>