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81" w:rsidRDefault="00816381" w:rsidP="00816381">
      <w:pPr>
        <w:pStyle w:val="NoSpacing"/>
        <w:jc w:val="center"/>
        <w:rPr>
          <w:b/>
          <w:sz w:val="44"/>
        </w:rPr>
      </w:pPr>
      <w:r w:rsidRPr="00816381">
        <w:rPr>
          <w:b/>
          <w:sz w:val="44"/>
        </w:rPr>
        <w:t xml:space="preserve">How to Set up Deflection in the OCLC </w:t>
      </w:r>
      <w:r>
        <w:rPr>
          <w:b/>
          <w:sz w:val="44"/>
        </w:rPr>
        <w:t xml:space="preserve">Interlibrary Loan </w:t>
      </w:r>
      <w:r w:rsidRPr="00816381">
        <w:rPr>
          <w:b/>
          <w:sz w:val="44"/>
        </w:rPr>
        <w:t>Policies Directory</w:t>
      </w:r>
    </w:p>
    <w:p w:rsidR="00816381" w:rsidRDefault="00816381" w:rsidP="00816381">
      <w:pPr>
        <w:pStyle w:val="NoSpacing"/>
        <w:rPr>
          <w:b/>
        </w:rPr>
      </w:pPr>
    </w:p>
    <w:p w:rsidR="00816381" w:rsidRDefault="00816381" w:rsidP="00816381">
      <w:pPr>
        <w:pStyle w:val="NoSpacing"/>
      </w:pPr>
    </w:p>
    <w:p w:rsidR="00816381" w:rsidRDefault="00816381" w:rsidP="00816381">
      <w:pPr>
        <w:pStyle w:val="NoSpacing"/>
      </w:pPr>
      <w:r>
        <w:t xml:space="preserve">OCLC allows libraries to set up certain parameters in </w:t>
      </w:r>
      <w:r w:rsidR="00B222B4">
        <w:t>the</w:t>
      </w:r>
      <w:r w:rsidR="000A4422">
        <w:t>ir</w:t>
      </w:r>
      <w:r w:rsidR="00B222B4">
        <w:t xml:space="preserve"> Policies Directory </w:t>
      </w:r>
      <w:r w:rsidR="000A4422">
        <w:t xml:space="preserve">so that certain types of items are restricted or excluded from interlibrary loan.  CCLA’s new </w:t>
      </w:r>
      <w:proofErr w:type="spellStart"/>
      <w:r w:rsidR="000A4422">
        <w:t>batchloading</w:t>
      </w:r>
      <w:proofErr w:type="spellEnd"/>
      <w:r w:rsidR="000A4422">
        <w:t xml:space="preserve"> procedures will not take into account a college’s policy on what types of items are available for loan.  CCLA will load all records (except eBooks) of a college’s collection.  </w:t>
      </w:r>
      <w:proofErr w:type="gramStart"/>
      <w:r w:rsidR="000A4422">
        <w:t>if</w:t>
      </w:r>
      <w:proofErr w:type="gramEnd"/>
      <w:r w:rsidR="000A4422">
        <w:t xml:space="preserve"> they do not want to loan certain formats such as DVDs and CDs, the college will need to put these parameters in Policies Directory and the system will automatically mark those records as non-</w:t>
      </w:r>
      <w:proofErr w:type="spellStart"/>
      <w:r w:rsidR="000A4422">
        <w:t>requestable</w:t>
      </w:r>
      <w:proofErr w:type="spellEnd"/>
      <w:r w:rsidR="000A4422">
        <w:t xml:space="preserve">. </w:t>
      </w:r>
    </w:p>
    <w:p w:rsidR="000A4422" w:rsidRDefault="000A4422" w:rsidP="00816381">
      <w:pPr>
        <w:pStyle w:val="NoSpacing"/>
      </w:pPr>
    </w:p>
    <w:p w:rsidR="000A4422" w:rsidRDefault="000A4422" w:rsidP="00816381">
      <w:pPr>
        <w:pStyle w:val="NoSpacing"/>
      </w:pPr>
      <w:r>
        <w:t>To use this feature, please follow these instructions:</w:t>
      </w:r>
    </w:p>
    <w:p w:rsidR="003B47C5" w:rsidRDefault="003B47C5" w:rsidP="00816381">
      <w:pPr>
        <w:pStyle w:val="NoSpacing"/>
      </w:pPr>
    </w:p>
    <w:p w:rsidR="003B47C5" w:rsidRDefault="003B47C5" w:rsidP="003B47C5">
      <w:pPr>
        <w:pStyle w:val="NoSpacing"/>
        <w:numPr>
          <w:ilvl w:val="0"/>
          <w:numId w:val="1"/>
        </w:numPr>
      </w:pPr>
      <w:r>
        <w:t xml:space="preserve">Go to the OCLC Policies Directory log in page at </w:t>
      </w:r>
      <w:hyperlink r:id="rId5" w:history="1">
        <w:r w:rsidRPr="0026770D">
          <w:rPr>
            <w:rStyle w:val="Hyperlink"/>
          </w:rPr>
          <w:t>https://illpolicies.oclc.org/dill-ui/SignIn.do</w:t>
        </w:r>
      </w:hyperlink>
      <w:r>
        <w:t xml:space="preserve"> and log in using a valid OCLC authorization number and password.</w:t>
      </w:r>
    </w:p>
    <w:p w:rsidR="003B47C5" w:rsidRDefault="003B47C5" w:rsidP="003B47C5">
      <w:pPr>
        <w:pStyle w:val="NoSpacing"/>
        <w:ind w:left="720"/>
      </w:pPr>
    </w:p>
    <w:p w:rsidR="003B47C5" w:rsidRDefault="003B47C5" w:rsidP="003B47C5">
      <w:pPr>
        <w:pStyle w:val="NoSpacing"/>
        <w:numPr>
          <w:ilvl w:val="0"/>
          <w:numId w:val="1"/>
        </w:numPr>
      </w:pPr>
      <w:r>
        <w:t>The main policies page for your college should appear.  Click on the Policies tab toward the top of the page.</w:t>
      </w:r>
    </w:p>
    <w:p w:rsidR="003B47C5" w:rsidRDefault="003B47C5" w:rsidP="003B47C5">
      <w:pPr>
        <w:pStyle w:val="NoSpacing"/>
      </w:pPr>
    </w:p>
    <w:p w:rsidR="003B47C5" w:rsidRDefault="003B47C5" w:rsidP="003B47C5">
      <w:pPr>
        <w:pStyle w:val="NoSpacing"/>
        <w:numPr>
          <w:ilvl w:val="0"/>
          <w:numId w:val="1"/>
        </w:numPr>
      </w:pPr>
      <w:r>
        <w:t>A screen similar to this one should appear</w:t>
      </w:r>
      <w:proofErr w:type="gramStart"/>
      <w:r>
        <w:t>:</w:t>
      </w:r>
      <w:proofErr w:type="gramEnd"/>
      <w:r>
        <w:br/>
      </w:r>
      <w:r>
        <w:br/>
      </w:r>
      <w:r>
        <w:rPr>
          <w:noProof/>
        </w:rPr>
        <w:drawing>
          <wp:inline distT="0" distB="0" distL="0" distR="0">
            <wp:extent cx="4819650" cy="2393091"/>
            <wp:effectExtent l="19050" t="19050" r="19050" b="2625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18108" cy="2392325"/>
                    </a:xfrm>
                    <a:prstGeom prst="rect">
                      <a:avLst/>
                    </a:prstGeom>
                    <a:noFill/>
                    <a:ln w="12700">
                      <a:solidFill>
                        <a:schemeClr val="tx1"/>
                      </a:solidFill>
                      <a:miter lim="800000"/>
                      <a:headEnd/>
                      <a:tailEnd/>
                    </a:ln>
                  </pic:spPr>
                </pic:pic>
              </a:graphicData>
            </a:graphic>
          </wp:inline>
        </w:drawing>
      </w:r>
      <w:r>
        <w:br/>
      </w:r>
      <w:r>
        <w:br/>
        <w:t>In the Deflections section, click on the Add button to create a rule.</w:t>
      </w:r>
    </w:p>
    <w:p w:rsidR="003B47C5" w:rsidRDefault="003B47C5" w:rsidP="003B47C5">
      <w:pPr>
        <w:pStyle w:val="NoSpacing"/>
      </w:pPr>
    </w:p>
    <w:p w:rsidR="00AA438C" w:rsidRDefault="003B47C5" w:rsidP="00AA438C">
      <w:pPr>
        <w:pStyle w:val="NoSpacing"/>
        <w:numPr>
          <w:ilvl w:val="0"/>
          <w:numId w:val="1"/>
        </w:numPr>
      </w:pPr>
      <w:r>
        <w:t>A window box should appear:</w:t>
      </w:r>
      <w:r>
        <w:br/>
      </w:r>
      <w:r>
        <w:br/>
      </w:r>
      <w:r w:rsidR="00AA438C">
        <w:rPr>
          <w:noProof/>
        </w:rPr>
        <w:lastRenderedPageBreak/>
        <w:drawing>
          <wp:inline distT="0" distB="0" distL="0" distR="0">
            <wp:extent cx="3738794" cy="2409590"/>
            <wp:effectExtent l="19050" t="19050" r="14056" b="976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738794" cy="2409590"/>
                    </a:xfrm>
                    <a:prstGeom prst="rect">
                      <a:avLst/>
                    </a:prstGeom>
                    <a:noFill/>
                    <a:ln w="9525">
                      <a:solidFill>
                        <a:schemeClr val="tx1"/>
                      </a:solidFill>
                      <a:miter lim="800000"/>
                      <a:headEnd/>
                      <a:tailEnd/>
                    </a:ln>
                  </pic:spPr>
                </pic:pic>
              </a:graphicData>
            </a:graphic>
          </wp:inline>
        </w:drawing>
      </w:r>
      <w:r w:rsidR="00AA438C">
        <w:rPr>
          <w:noProof/>
        </w:rPr>
        <w:drawing>
          <wp:inline distT="0" distB="0" distL="0" distR="0">
            <wp:extent cx="3746390" cy="2466975"/>
            <wp:effectExtent l="19050" t="19050" r="2551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3746390" cy="2466975"/>
                    </a:xfrm>
                    <a:prstGeom prst="rect">
                      <a:avLst/>
                    </a:prstGeom>
                    <a:noFill/>
                    <a:ln w="9525">
                      <a:solidFill>
                        <a:schemeClr val="tx1"/>
                      </a:solidFill>
                      <a:miter lim="800000"/>
                      <a:headEnd/>
                      <a:tailEnd/>
                    </a:ln>
                  </pic:spPr>
                </pic:pic>
              </a:graphicData>
            </a:graphic>
          </wp:inline>
        </w:drawing>
      </w:r>
      <w:r w:rsidR="00AA438C">
        <w:rPr>
          <w:noProof/>
        </w:rPr>
        <w:drawing>
          <wp:inline distT="0" distB="0" distL="0" distR="0">
            <wp:extent cx="3752135" cy="1348935"/>
            <wp:effectExtent l="19050" t="19050" r="19765" b="226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3752135" cy="1348935"/>
                    </a:xfrm>
                    <a:prstGeom prst="rect">
                      <a:avLst/>
                    </a:prstGeom>
                    <a:noFill/>
                    <a:ln w="9525">
                      <a:solidFill>
                        <a:schemeClr val="tx1"/>
                      </a:solidFill>
                      <a:miter lim="800000"/>
                      <a:headEnd/>
                      <a:tailEnd/>
                    </a:ln>
                  </pic:spPr>
                </pic:pic>
              </a:graphicData>
            </a:graphic>
          </wp:inline>
        </w:drawing>
      </w:r>
      <w:r w:rsidR="00AA438C">
        <w:br/>
      </w:r>
      <w:r w:rsidR="00AA438C">
        <w:br/>
        <w:t>Fill out the following fields:</w:t>
      </w:r>
    </w:p>
    <w:p w:rsidR="00AA438C" w:rsidRDefault="00AA438C" w:rsidP="00AA438C">
      <w:pPr>
        <w:pStyle w:val="NoSpacing"/>
        <w:numPr>
          <w:ilvl w:val="1"/>
          <w:numId w:val="1"/>
        </w:numPr>
      </w:pPr>
      <w:r w:rsidRPr="00B222B4">
        <w:rPr>
          <w:b/>
        </w:rPr>
        <w:t>Policy Name:</w:t>
      </w:r>
      <w:r>
        <w:t xml:space="preserve"> Give the policy a name.</w:t>
      </w:r>
    </w:p>
    <w:p w:rsidR="00AA438C" w:rsidRDefault="00AA438C" w:rsidP="00AA438C">
      <w:pPr>
        <w:pStyle w:val="NoSpacing"/>
        <w:numPr>
          <w:ilvl w:val="1"/>
          <w:numId w:val="1"/>
        </w:numPr>
      </w:pPr>
      <w:r w:rsidRPr="00B222B4">
        <w:rPr>
          <w:b/>
        </w:rPr>
        <w:t>Service</w:t>
      </w:r>
      <w:r w:rsidR="00880C6A" w:rsidRPr="00B222B4">
        <w:rPr>
          <w:b/>
        </w:rPr>
        <w:t>-</w:t>
      </w:r>
      <w:r w:rsidRPr="00B222B4">
        <w:rPr>
          <w:b/>
        </w:rPr>
        <w:t>Request Type:</w:t>
      </w:r>
      <w:r>
        <w:t xml:space="preserve"> Choose </w:t>
      </w:r>
      <w:r w:rsidRPr="00B222B4">
        <w:rPr>
          <w:i/>
        </w:rPr>
        <w:t>Loan</w:t>
      </w:r>
      <w:r>
        <w:t xml:space="preserve"> for </w:t>
      </w:r>
      <w:proofErr w:type="spellStart"/>
      <w:r>
        <w:t>returnables</w:t>
      </w:r>
      <w:proofErr w:type="spellEnd"/>
      <w:r>
        <w:t xml:space="preserve"> or </w:t>
      </w:r>
      <w:r w:rsidRPr="00B222B4">
        <w:rPr>
          <w:i/>
        </w:rPr>
        <w:t>Copy</w:t>
      </w:r>
      <w:r>
        <w:t xml:space="preserve"> for non-</w:t>
      </w:r>
      <w:proofErr w:type="spellStart"/>
      <w:r>
        <w:t>returnables</w:t>
      </w:r>
      <w:proofErr w:type="spellEnd"/>
      <w:r>
        <w:t>.</w:t>
      </w:r>
    </w:p>
    <w:p w:rsidR="00AA438C" w:rsidRDefault="00AA438C" w:rsidP="00AA438C">
      <w:pPr>
        <w:pStyle w:val="NoSpacing"/>
        <w:numPr>
          <w:ilvl w:val="1"/>
          <w:numId w:val="1"/>
        </w:numPr>
      </w:pPr>
      <w:r w:rsidRPr="00B222B4">
        <w:rPr>
          <w:b/>
        </w:rPr>
        <w:t>Service</w:t>
      </w:r>
      <w:r w:rsidR="00880C6A" w:rsidRPr="00B222B4">
        <w:rPr>
          <w:b/>
        </w:rPr>
        <w:t>-</w:t>
      </w:r>
      <w:r w:rsidRPr="00B222B4">
        <w:rPr>
          <w:b/>
        </w:rPr>
        <w:t>Deflection Type:</w:t>
      </w:r>
      <w:r>
        <w:t xml:space="preserve"> Choose </w:t>
      </w:r>
      <w:r w:rsidR="00880C6A">
        <w:t>“</w:t>
      </w:r>
      <w:r w:rsidR="00880C6A" w:rsidRPr="00B222B4">
        <w:rPr>
          <w:i/>
        </w:rPr>
        <w:t>Enable Real-Time Deflection</w:t>
      </w:r>
      <w:r w:rsidR="00880C6A">
        <w:t>.”</w:t>
      </w:r>
    </w:p>
    <w:p w:rsidR="00880C6A" w:rsidRDefault="00880C6A" w:rsidP="00AA438C">
      <w:pPr>
        <w:pStyle w:val="NoSpacing"/>
        <w:numPr>
          <w:ilvl w:val="1"/>
          <w:numId w:val="1"/>
        </w:numPr>
      </w:pPr>
      <w:r w:rsidRPr="00B222B4">
        <w:rPr>
          <w:b/>
        </w:rPr>
        <w:t>Borrowers-OCLC Group:</w:t>
      </w:r>
      <w:r>
        <w:t xml:space="preserve">  Leave set at </w:t>
      </w:r>
      <w:proofErr w:type="gramStart"/>
      <w:r>
        <w:t>None</w:t>
      </w:r>
      <w:proofErr w:type="gramEnd"/>
      <w:r>
        <w:t>.</w:t>
      </w:r>
    </w:p>
    <w:p w:rsidR="00880C6A" w:rsidRDefault="00880C6A" w:rsidP="00AA438C">
      <w:pPr>
        <w:pStyle w:val="NoSpacing"/>
        <w:numPr>
          <w:ilvl w:val="1"/>
          <w:numId w:val="1"/>
        </w:numPr>
      </w:pPr>
      <w:r w:rsidRPr="00B222B4">
        <w:rPr>
          <w:b/>
        </w:rPr>
        <w:t>Items-Formats:</w:t>
      </w:r>
      <w:r>
        <w:t xml:space="preserve"> Check </w:t>
      </w:r>
      <w:r w:rsidRPr="00B222B4">
        <w:rPr>
          <w:i/>
        </w:rPr>
        <w:t>Include</w:t>
      </w:r>
      <w:r>
        <w:t>, then click on the down arrow of the box below it to open the list of different formats.  Click on the formats that you want to include in the deflection.</w:t>
      </w:r>
    </w:p>
    <w:p w:rsidR="00880C6A" w:rsidRDefault="00880C6A" w:rsidP="00AA438C">
      <w:pPr>
        <w:pStyle w:val="NoSpacing"/>
        <w:numPr>
          <w:ilvl w:val="1"/>
          <w:numId w:val="1"/>
        </w:numPr>
      </w:pPr>
      <w:r w:rsidRPr="00B222B4">
        <w:rPr>
          <w:b/>
        </w:rPr>
        <w:t>Items-Material Age:</w:t>
      </w:r>
      <w:r>
        <w:t xml:space="preserve"> Set if you want to limit </w:t>
      </w:r>
      <w:r w:rsidR="00B222B4">
        <w:t>by age.</w:t>
      </w:r>
    </w:p>
    <w:p w:rsidR="00B222B4" w:rsidRDefault="00B222B4" w:rsidP="00B222B4">
      <w:pPr>
        <w:pStyle w:val="NoSpacing"/>
        <w:numPr>
          <w:ilvl w:val="1"/>
          <w:numId w:val="1"/>
        </w:numPr>
      </w:pPr>
      <w:r w:rsidRPr="00B222B4">
        <w:rPr>
          <w:b/>
        </w:rPr>
        <w:lastRenderedPageBreak/>
        <w:t>Notes:</w:t>
      </w:r>
      <w:r>
        <w:t xml:space="preserve"> Enter any notes that you want.</w:t>
      </w:r>
    </w:p>
    <w:p w:rsidR="00B222B4" w:rsidRDefault="00B222B4" w:rsidP="00B222B4">
      <w:pPr>
        <w:pStyle w:val="NoSpacing"/>
        <w:ind w:left="1080"/>
      </w:pPr>
    </w:p>
    <w:p w:rsidR="00B222B4" w:rsidRDefault="00B222B4" w:rsidP="00B222B4">
      <w:pPr>
        <w:pStyle w:val="NoSpacing"/>
        <w:numPr>
          <w:ilvl w:val="0"/>
          <w:numId w:val="1"/>
        </w:numPr>
      </w:pPr>
      <w:r>
        <w:t>Click Save.  You should see your new policy in the Deflections section of your policies page.</w:t>
      </w:r>
      <w:r>
        <w:br/>
      </w:r>
      <w:r>
        <w:br/>
      </w:r>
      <w:r>
        <w:rPr>
          <w:noProof/>
        </w:rPr>
        <w:drawing>
          <wp:inline distT="0" distB="0" distL="0" distR="0">
            <wp:extent cx="5113065" cy="3000375"/>
            <wp:effectExtent l="19050" t="19050" r="11385"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115394" cy="3001742"/>
                    </a:xfrm>
                    <a:prstGeom prst="rect">
                      <a:avLst/>
                    </a:prstGeom>
                    <a:noFill/>
                    <a:ln w="9525">
                      <a:solidFill>
                        <a:schemeClr val="tx1"/>
                      </a:solidFill>
                      <a:miter lim="800000"/>
                      <a:headEnd/>
                      <a:tailEnd/>
                    </a:ln>
                  </pic:spPr>
                </pic:pic>
              </a:graphicData>
            </a:graphic>
          </wp:inline>
        </w:drawing>
      </w:r>
      <w:r>
        <w:br/>
      </w:r>
    </w:p>
    <w:p w:rsidR="00B222B4" w:rsidRDefault="00B222B4" w:rsidP="00B222B4">
      <w:pPr>
        <w:pStyle w:val="NoSpacing"/>
        <w:numPr>
          <w:ilvl w:val="0"/>
          <w:numId w:val="1"/>
        </w:numPr>
      </w:pPr>
      <w:r>
        <w:t>Click on Sign Out at the top of the screen.</w:t>
      </w:r>
    </w:p>
    <w:p w:rsidR="00B222B4" w:rsidRDefault="00B222B4" w:rsidP="00B222B4">
      <w:pPr>
        <w:pStyle w:val="NoSpacing"/>
      </w:pPr>
    </w:p>
    <w:p w:rsidR="000A4422" w:rsidRDefault="000A4422" w:rsidP="00B222B4">
      <w:pPr>
        <w:pStyle w:val="NoSpacing"/>
      </w:pPr>
      <w:r>
        <w:t>Records that are owned by the college that meet this parameter will display with the institution’s symbol in lowercase.  This indicates that the college owns the item,</w:t>
      </w:r>
      <w:r w:rsidR="00B77335">
        <w:t xml:space="preserve"> but they will not lend it to other OCLC ILL institutions.</w:t>
      </w:r>
    </w:p>
    <w:p w:rsidR="00B77335" w:rsidRPr="00816381" w:rsidRDefault="00B77335" w:rsidP="00B222B4">
      <w:pPr>
        <w:pStyle w:val="NoSpacing"/>
      </w:pPr>
    </w:p>
    <w:sectPr w:rsidR="00B77335" w:rsidRPr="00816381" w:rsidSect="005A3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13CE"/>
    <w:multiLevelType w:val="hybridMultilevel"/>
    <w:tmpl w:val="600C0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381"/>
    <w:rsid w:val="000A4422"/>
    <w:rsid w:val="00167703"/>
    <w:rsid w:val="0035118B"/>
    <w:rsid w:val="003A340B"/>
    <w:rsid w:val="003B47C5"/>
    <w:rsid w:val="003C1B96"/>
    <w:rsid w:val="004807CC"/>
    <w:rsid w:val="00591628"/>
    <w:rsid w:val="005A3D6C"/>
    <w:rsid w:val="00816381"/>
    <w:rsid w:val="00880C6A"/>
    <w:rsid w:val="00AA438C"/>
    <w:rsid w:val="00B222B4"/>
    <w:rsid w:val="00B77335"/>
    <w:rsid w:val="00F8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28"/>
    <w:pPr>
      <w:spacing w:line="27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381"/>
    <w:pPr>
      <w:spacing w:after="0" w:line="240" w:lineRule="auto"/>
    </w:pPr>
    <w:rPr>
      <w:rFonts w:ascii="Arial" w:hAnsi="Arial"/>
    </w:rPr>
  </w:style>
  <w:style w:type="character" w:styleId="Hyperlink">
    <w:name w:val="Hyperlink"/>
    <w:basedOn w:val="DefaultParagraphFont"/>
    <w:uiPriority w:val="99"/>
    <w:unhideWhenUsed/>
    <w:rsid w:val="003B47C5"/>
    <w:rPr>
      <w:color w:val="0000FF" w:themeColor="hyperlink"/>
      <w:u w:val="single"/>
    </w:rPr>
  </w:style>
  <w:style w:type="paragraph" w:styleId="ListParagraph">
    <w:name w:val="List Paragraph"/>
    <w:basedOn w:val="Normal"/>
    <w:uiPriority w:val="34"/>
    <w:qFormat/>
    <w:rsid w:val="003B47C5"/>
    <w:pPr>
      <w:ind w:left="720"/>
      <w:contextualSpacing/>
    </w:pPr>
  </w:style>
  <w:style w:type="paragraph" w:styleId="BalloonText">
    <w:name w:val="Balloon Text"/>
    <w:basedOn w:val="Normal"/>
    <w:link w:val="BalloonTextChar"/>
    <w:uiPriority w:val="99"/>
    <w:semiHidden/>
    <w:unhideWhenUsed/>
    <w:rsid w:val="003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illpolicies.oclc.org/dill-ui/SignIn.do"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CCLA</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dwhisenant</dc:creator>
  <cp:keywords/>
  <dc:description/>
  <cp:lastModifiedBy>dwhisenant</cp:lastModifiedBy>
  <cp:revision>1</cp:revision>
  <cp:lastPrinted>2010-09-14T20:45:00Z</cp:lastPrinted>
  <dcterms:created xsi:type="dcterms:W3CDTF">2010-09-14T19:02:00Z</dcterms:created>
  <dcterms:modified xsi:type="dcterms:W3CDTF">2010-09-14T20:55:00Z</dcterms:modified>
</cp:coreProperties>
</file>