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11427A">
            <w:rPr>
              <w:caps/>
            </w:rPr>
            <w:t>JoAnn Lewin</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1427A">
            <w:rPr>
              <w:caps/>
            </w:rPr>
            <w:t>Mathematics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11427A">
            <w:rPr>
              <w:caps/>
            </w:rPr>
            <w:t>Ron Smith and Joan Van Glabek</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1D04A6">
            <w:rPr>
              <w:caps/>
            </w:rPr>
            <w:t>Ron smith or joan van glabek</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11427A">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45747B"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11427A">
            <w:rPr>
              <w:rStyle w:val="FormStyle"/>
              <w:caps/>
            </w:rPr>
            <w:t>M</w:t>
          </w:r>
          <w:r w:rsidR="006D66BE">
            <w:rPr>
              <w:rStyle w:val="FormStyle"/>
              <w:caps/>
            </w:rPr>
            <w:t>hf 2191 Mathematical foundations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11427A">
            <w:rPr>
              <w:b/>
              <w:caps/>
            </w:rPr>
            <w:t>Mathematics</w:t>
          </w:r>
        </w:sdtContent>
      </w:sdt>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caps/>
          </w:rPr>
          <w:id w:val="706025783"/>
          <w:lock w:val="sdtLocked"/>
          <w:placeholder>
            <w:docPart w:val="9FDCEA5A8E024D818ABA20A6642BE703"/>
          </w:placeholder>
          <w:text w:multiLine="1"/>
        </w:sdtPr>
        <w:sdtContent>
          <w:r w:rsidR="0011427A">
            <w:rPr>
              <w:caps/>
            </w:rPr>
            <w:t>Mac 2313</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11427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11427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11427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1D04A6">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11427A">
            <w:rPr>
              <w:caps/>
            </w:rPr>
            <w:t>3 hours per week</w:t>
          </w:r>
        </w:sdtContent>
      </w:sdt>
    </w:p>
    <w:p w:rsidR="00FD4DEE" w:rsidRPr="00081C89" w:rsidRDefault="007D0604" w:rsidP="00081C89">
      <w:pPr>
        <w:tabs>
          <w:tab w:val="left" w:pos="4140"/>
        </w:tabs>
        <w:spacing w:after="0"/>
        <w:rPr>
          <w:b/>
          <w:caps/>
        </w:rPr>
      </w:pPr>
      <w:r w:rsidRPr="00081C89">
        <w:rPr>
          <w:b/>
          <w:caps/>
        </w:rPr>
        <w:t>COURSE DESCRIPTION:</w:t>
      </w:r>
    </w:p>
    <w:sdt>
      <w:sdtPr>
        <w:id w:val="706025789"/>
        <w:lock w:val="sdtLocked"/>
        <w:placeholder>
          <w:docPart w:val="78420C511AC34C98959090D4EB0B467A"/>
        </w:placeholder>
        <w:text w:multiLine="1"/>
      </w:sdtPr>
      <w:sdtContent>
        <w:p w:rsidR="00FD4DEE" w:rsidRPr="0004057E" w:rsidRDefault="0011427A" w:rsidP="00872D20">
          <w:pPr>
            <w:tabs>
              <w:tab w:val="left" w:pos="4140"/>
            </w:tabs>
            <w:spacing w:after="120"/>
          </w:pPr>
          <w:r>
            <w:t>T</w:t>
          </w:r>
          <w:r w:rsidR="006D66BE">
            <w:t>his course is an introduction to axiomatic systems and techniques of proof. Emphasis is on preparing the student to read and write mathematical proofs, and to work with abstract definitions and axioms.</w:t>
          </w:r>
          <w:r>
            <w:t xml:space="preserve"> It is a core requirement for the Secondary Education in Mathematics Degree. It is intended to provide the future mathematics teacher with in-depth background knowledge.</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sdt>
      <w:sdtPr>
        <w:id w:val="706025673"/>
        <w:placeholder>
          <w:docPart w:val="C734F7E56143426A8A8D670F4F0602B8"/>
        </w:placeholder>
      </w:sdtPr>
      <w:sdtContent>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Symbolic logic</w:t>
          </w:r>
        </w:p>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Boolean algebra</w:t>
          </w:r>
        </w:p>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Set theory</w:t>
          </w:r>
        </w:p>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Countable and uncountable sets</w:t>
          </w:r>
        </w:p>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Techniques of proof</w:t>
          </w:r>
        </w:p>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Functions and relations</w:t>
          </w:r>
        </w:p>
        <w:p w:rsidR="00111F11" w:rsidRPr="00511DCA" w:rsidRDefault="00111F11" w:rsidP="00111F11">
          <w:pPr>
            <w:widowControl w:val="0"/>
            <w:numPr>
              <w:ilvl w:val="0"/>
              <w:numId w:val="3"/>
            </w:numPr>
            <w:spacing w:after="0" w:line="240" w:lineRule="auto"/>
            <w:rPr>
              <w:rFonts w:cs="Arial"/>
              <w:b/>
              <w:sz w:val="22"/>
              <w:u w:val="single"/>
            </w:rPr>
          </w:pPr>
          <w:r w:rsidRPr="00511DCA">
            <w:rPr>
              <w:sz w:val="22"/>
            </w:rPr>
            <w:t>Mathematical induction</w:t>
          </w:r>
        </w:p>
        <w:p w:rsidR="00111F11" w:rsidRPr="00511DCA" w:rsidRDefault="00111F11" w:rsidP="00111F11">
          <w:pPr>
            <w:widowControl w:val="0"/>
            <w:numPr>
              <w:ilvl w:val="0"/>
              <w:numId w:val="3"/>
            </w:numPr>
            <w:spacing w:after="0" w:line="240" w:lineRule="auto"/>
            <w:rPr>
              <w:rFonts w:cs="Arial"/>
              <w:b/>
              <w:sz w:val="22"/>
              <w:u w:val="single"/>
            </w:rPr>
          </w:pPr>
          <w:r>
            <w:rPr>
              <w:sz w:val="22"/>
            </w:rPr>
            <w:t>Group axioms</w:t>
          </w:r>
          <w:r w:rsidRPr="00511DCA">
            <w:rPr>
              <w:sz w:val="22"/>
            </w:rPr>
            <w:br/>
          </w:r>
        </w:p>
        <w:p w:rsidR="00111F11" w:rsidRDefault="00111F11" w:rsidP="000E1D88">
          <w:pPr>
            <w:tabs>
              <w:tab w:val="left" w:pos="4140"/>
            </w:tabs>
            <w:spacing w:after="0"/>
          </w:pPr>
        </w:p>
        <w:p w:rsidR="000E1D88" w:rsidRPr="0004057E" w:rsidRDefault="0045747B" w:rsidP="000E1D88">
          <w:pPr>
            <w:tabs>
              <w:tab w:val="left" w:pos="4140"/>
            </w:tabs>
            <w:spacing w:after="0"/>
          </w:pPr>
        </w:p>
      </w:sdtContent>
    </w:sdt>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20"/>
        <w:gridCol w:w="2790"/>
        <w:gridCol w:w="170"/>
        <w:gridCol w:w="2620"/>
      </w:tblGrid>
      <w:tr w:rsidR="00D020E8" w:rsidRPr="00511DCA">
        <w:trPr>
          <w:trHeight w:val="432"/>
        </w:trPr>
        <w:tc>
          <w:tcPr>
            <w:tcW w:w="3420" w:type="dxa"/>
            <w:shd w:val="clear" w:color="auto" w:fill="000000" w:themeFill="text1"/>
          </w:tcPr>
          <w:p w:rsidR="00D020E8" w:rsidRPr="00511DCA" w:rsidRDefault="00D020E8" w:rsidP="00506B98">
            <w:pPr>
              <w:jc w:val="center"/>
              <w:rPr>
                <w:rFonts w:cs="Arial"/>
                <w:b/>
                <w:bCs/>
                <w:iCs/>
                <w:sz w:val="22"/>
              </w:rPr>
            </w:pPr>
            <w:r w:rsidRPr="00511DCA">
              <w:rPr>
                <w:rFonts w:cs="Arial"/>
                <w:b/>
                <w:bCs/>
                <w:iCs/>
                <w:sz w:val="22"/>
              </w:rPr>
              <w:t>Learning Outcomes</w:t>
            </w:r>
          </w:p>
        </w:tc>
        <w:tc>
          <w:tcPr>
            <w:tcW w:w="2960" w:type="dxa"/>
            <w:gridSpan w:val="2"/>
            <w:shd w:val="clear" w:color="auto" w:fill="000000" w:themeFill="text1"/>
          </w:tcPr>
          <w:p w:rsidR="00D020E8" w:rsidRPr="00511DCA" w:rsidRDefault="00D020E8" w:rsidP="00506B98">
            <w:pPr>
              <w:jc w:val="center"/>
              <w:rPr>
                <w:rFonts w:cs="Arial"/>
                <w:b/>
                <w:bCs/>
                <w:iCs/>
                <w:sz w:val="22"/>
              </w:rPr>
            </w:pPr>
            <w:r w:rsidRPr="00511DCA">
              <w:rPr>
                <w:rFonts w:cs="Arial"/>
                <w:b/>
                <w:bCs/>
                <w:iCs/>
                <w:sz w:val="22"/>
              </w:rPr>
              <w:t>Assessments</w:t>
            </w:r>
          </w:p>
        </w:tc>
        <w:tc>
          <w:tcPr>
            <w:tcW w:w="2620" w:type="dxa"/>
            <w:shd w:val="clear" w:color="auto" w:fill="000000" w:themeFill="text1"/>
          </w:tcPr>
          <w:p w:rsidR="00D020E8" w:rsidRPr="00511DCA" w:rsidRDefault="00D020E8" w:rsidP="00506B98">
            <w:pPr>
              <w:jc w:val="center"/>
              <w:rPr>
                <w:rFonts w:cs="Arial"/>
                <w:b/>
                <w:bCs/>
                <w:iCs/>
                <w:sz w:val="22"/>
              </w:rPr>
            </w:pPr>
            <w:r w:rsidRPr="00511DCA">
              <w:rPr>
                <w:rFonts w:cs="Arial"/>
                <w:b/>
                <w:bCs/>
                <w:iCs/>
                <w:sz w:val="22"/>
              </w:rPr>
              <w:t>Gen. Ed. Competencies</w:t>
            </w:r>
          </w:p>
        </w:tc>
      </w:tr>
      <w:tr w:rsidR="00D020E8" w:rsidRPr="00511DCA">
        <w:tc>
          <w:tcPr>
            <w:tcW w:w="3420" w:type="dxa"/>
          </w:tcPr>
          <w:p w:rsidR="00D020E8" w:rsidRPr="00511DCA" w:rsidRDefault="00D020E8" w:rsidP="00640515">
            <w:pPr>
              <w:rPr>
                <w:rFonts w:cs="Arial"/>
                <w:b/>
                <w:sz w:val="22"/>
                <w:u w:val="single"/>
              </w:rPr>
            </w:pPr>
            <w:r w:rsidRPr="00511DCA">
              <w:rPr>
                <w:sz w:val="22"/>
              </w:rPr>
              <w:t>Construct and develop logical arguments using symbolic logic.</w:t>
            </w:r>
          </w:p>
        </w:tc>
        <w:tc>
          <w:tcPr>
            <w:tcW w:w="2790" w:type="dxa"/>
            <w:vMerge w:val="restart"/>
            <w:shd w:val="clear" w:color="auto" w:fill="auto"/>
          </w:tcPr>
          <w:p w:rsidR="00D020E8" w:rsidRDefault="00D020E8" w:rsidP="004469C6">
            <w:pPr>
              <w:jc w:val="center"/>
              <w:rPr>
                <w:rFonts w:cs="Arial"/>
                <w:bCs/>
                <w:iCs/>
                <w:sz w:val="22"/>
              </w:rPr>
            </w:pPr>
            <w:r>
              <w:rPr>
                <w:rFonts w:cs="Arial"/>
                <w:bCs/>
                <w:iCs/>
                <w:sz w:val="22"/>
              </w:rPr>
              <w:t>HOMEWORK</w:t>
            </w:r>
          </w:p>
          <w:p w:rsidR="00D020E8" w:rsidRDefault="00D020E8" w:rsidP="004469C6">
            <w:pPr>
              <w:jc w:val="center"/>
              <w:rPr>
                <w:rFonts w:cs="Arial"/>
                <w:bCs/>
                <w:iCs/>
                <w:sz w:val="22"/>
              </w:rPr>
            </w:pPr>
            <w:r>
              <w:rPr>
                <w:rFonts w:cs="Arial"/>
                <w:bCs/>
                <w:iCs/>
                <w:sz w:val="22"/>
              </w:rPr>
              <w:t>and/or</w:t>
            </w:r>
          </w:p>
          <w:p w:rsidR="00D020E8" w:rsidRDefault="00D020E8" w:rsidP="004469C6">
            <w:pPr>
              <w:jc w:val="center"/>
              <w:rPr>
                <w:rFonts w:cs="Arial"/>
                <w:bCs/>
                <w:iCs/>
                <w:sz w:val="22"/>
              </w:rPr>
            </w:pPr>
            <w:r>
              <w:rPr>
                <w:rFonts w:cs="Arial"/>
                <w:bCs/>
                <w:iCs/>
                <w:sz w:val="22"/>
              </w:rPr>
              <w:t>QUIZZES</w:t>
            </w:r>
          </w:p>
          <w:p w:rsidR="00D020E8" w:rsidRDefault="00D020E8" w:rsidP="004469C6">
            <w:pPr>
              <w:jc w:val="center"/>
              <w:rPr>
                <w:rFonts w:cs="Arial"/>
                <w:bCs/>
                <w:iCs/>
                <w:sz w:val="22"/>
              </w:rPr>
            </w:pPr>
            <w:r>
              <w:rPr>
                <w:rFonts w:cs="Arial"/>
                <w:bCs/>
                <w:iCs/>
                <w:sz w:val="22"/>
              </w:rPr>
              <w:t>and/or</w:t>
            </w:r>
          </w:p>
          <w:p w:rsidR="00D020E8" w:rsidRDefault="00D020E8" w:rsidP="004469C6">
            <w:pPr>
              <w:jc w:val="center"/>
              <w:rPr>
                <w:rFonts w:cs="Arial"/>
                <w:bCs/>
                <w:iCs/>
                <w:sz w:val="22"/>
              </w:rPr>
            </w:pPr>
            <w:r>
              <w:rPr>
                <w:rFonts w:cs="Arial"/>
                <w:bCs/>
                <w:iCs/>
                <w:sz w:val="22"/>
              </w:rPr>
              <w:t>TESTS</w:t>
            </w:r>
          </w:p>
          <w:p w:rsidR="00D020E8" w:rsidRDefault="00D020E8" w:rsidP="004469C6">
            <w:pPr>
              <w:jc w:val="center"/>
              <w:rPr>
                <w:rFonts w:cs="Arial"/>
                <w:bCs/>
                <w:iCs/>
                <w:sz w:val="22"/>
              </w:rPr>
            </w:pPr>
            <w:r>
              <w:rPr>
                <w:rFonts w:cs="Arial"/>
                <w:bCs/>
                <w:iCs/>
                <w:sz w:val="22"/>
              </w:rPr>
              <w:t>and/or</w:t>
            </w:r>
          </w:p>
          <w:p w:rsidR="00D020E8" w:rsidRDefault="00D020E8" w:rsidP="004469C6">
            <w:pPr>
              <w:jc w:val="center"/>
              <w:rPr>
                <w:rFonts w:cs="Arial"/>
                <w:bCs/>
                <w:iCs/>
                <w:sz w:val="22"/>
              </w:rPr>
            </w:pPr>
            <w:r>
              <w:rPr>
                <w:rFonts w:cs="Arial"/>
                <w:bCs/>
                <w:iCs/>
                <w:sz w:val="22"/>
              </w:rPr>
              <w:t>GROUP ASSIGNMENTS</w:t>
            </w:r>
          </w:p>
          <w:p w:rsidR="00D020E8" w:rsidRDefault="00D020E8" w:rsidP="004469C6">
            <w:pPr>
              <w:jc w:val="center"/>
              <w:rPr>
                <w:rFonts w:cs="Arial"/>
                <w:bCs/>
                <w:iCs/>
                <w:sz w:val="22"/>
              </w:rPr>
            </w:pPr>
            <w:r>
              <w:rPr>
                <w:rFonts w:cs="Arial"/>
                <w:bCs/>
                <w:iCs/>
                <w:sz w:val="22"/>
              </w:rPr>
              <w:t>and/or</w:t>
            </w:r>
          </w:p>
          <w:p w:rsidR="00D020E8" w:rsidRPr="00E8281D" w:rsidRDefault="00D020E8" w:rsidP="004469C6">
            <w:pPr>
              <w:jc w:val="center"/>
              <w:rPr>
                <w:rFonts w:cs="Arial"/>
                <w:bCs/>
                <w:iCs/>
                <w:sz w:val="22"/>
              </w:rPr>
            </w:pPr>
            <w:r>
              <w:rPr>
                <w:rFonts w:cs="Arial"/>
                <w:bCs/>
                <w:iCs/>
                <w:sz w:val="22"/>
              </w:rPr>
              <w:t>PROJECTS</w:t>
            </w:r>
          </w:p>
          <w:p w:rsidR="00D020E8" w:rsidRPr="00E01BD9" w:rsidRDefault="00D020E8" w:rsidP="004469C6">
            <w:pPr>
              <w:rPr>
                <w:rFonts w:cs="Arial"/>
                <w:bCs/>
                <w:iCs/>
                <w:sz w:val="22"/>
              </w:rPr>
            </w:pPr>
          </w:p>
          <w:p w:rsidR="00D020E8" w:rsidRPr="00E01BD9" w:rsidRDefault="00D020E8" w:rsidP="004469C6">
            <w:pPr>
              <w:rPr>
                <w:rFonts w:cs="Arial"/>
                <w:bCs/>
                <w:iCs/>
                <w:sz w:val="22"/>
              </w:rPr>
            </w:pPr>
          </w:p>
        </w:tc>
        <w:tc>
          <w:tcPr>
            <w:tcW w:w="2790" w:type="dxa"/>
            <w:gridSpan w:val="2"/>
            <w:shd w:val="clear" w:color="auto" w:fill="auto"/>
          </w:tcPr>
          <w:p w:rsidR="00D020E8" w:rsidRPr="00511DCA" w:rsidRDefault="00D020E8" w:rsidP="00412617">
            <w:pPr>
              <w:rPr>
                <w:rFonts w:cs="Arial"/>
                <w:b/>
                <w:bCs/>
                <w:iCs/>
                <w:sz w:val="22"/>
              </w:rPr>
            </w:pPr>
            <w:r>
              <w:rPr>
                <w:rFonts w:cs="Arial"/>
                <w:b/>
                <w:bCs/>
                <w:iCs/>
                <w:sz w:val="22"/>
              </w:rPr>
              <w:t>CT</w:t>
            </w:r>
          </w:p>
        </w:tc>
      </w:tr>
      <w:tr w:rsidR="00D020E8" w:rsidRPr="00511DCA">
        <w:tc>
          <w:tcPr>
            <w:tcW w:w="3420" w:type="dxa"/>
          </w:tcPr>
          <w:p w:rsidR="00D020E8" w:rsidRPr="00511DCA" w:rsidRDefault="00D020E8" w:rsidP="00640515">
            <w:pPr>
              <w:rPr>
                <w:rFonts w:cs="Arial"/>
                <w:b/>
                <w:sz w:val="22"/>
                <w:u w:val="single"/>
              </w:rPr>
            </w:pPr>
            <w:r w:rsidRPr="00511DCA">
              <w:rPr>
                <w:sz w:val="22"/>
              </w:rPr>
              <w:t>Complete operations using Boolean algebra.</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
                <w:bCs/>
                <w:iCs/>
                <w:sz w:val="22"/>
              </w:rPr>
            </w:pPr>
            <w:r>
              <w:rPr>
                <w:rFonts w:cs="Arial"/>
                <w:b/>
                <w:bCs/>
                <w:iCs/>
                <w:sz w:val="22"/>
              </w:rPr>
              <w:t>TM</w:t>
            </w:r>
          </w:p>
        </w:tc>
      </w:tr>
      <w:tr w:rsidR="00D020E8" w:rsidRPr="00511DCA">
        <w:tc>
          <w:tcPr>
            <w:tcW w:w="3420" w:type="dxa"/>
          </w:tcPr>
          <w:p w:rsidR="00D020E8" w:rsidRPr="00511DCA" w:rsidRDefault="00D020E8" w:rsidP="00640515">
            <w:pPr>
              <w:rPr>
                <w:rFonts w:cs="Arial"/>
                <w:b/>
                <w:sz w:val="22"/>
                <w:u w:val="single"/>
              </w:rPr>
            </w:pPr>
            <w:r w:rsidRPr="00511DCA">
              <w:rPr>
                <w:sz w:val="22"/>
              </w:rPr>
              <w:t>Apply the rules of set theory</w:t>
            </w:r>
            <w:r>
              <w:rPr>
                <w:sz w:val="22"/>
              </w:rPr>
              <w:t>.</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Cs/>
                <w:iCs/>
                <w:sz w:val="22"/>
              </w:rPr>
            </w:pPr>
          </w:p>
        </w:tc>
      </w:tr>
      <w:tr w:rsidR="00D020E8" w:rsidRPr="00511DCA">
        <w:tc>
          <w:tcPr>
            <w:tcW w:w="3420" w:type="dxa"/>
          </w:tcPr>
          <w:p w:rsidR="00D020E8" w:rsidRPr="00511DCA" w:rsidRDefault="00D020E8" w:rsidP="00640515">
            <w:pPr>
              <w:rPr>
                <w:rFonts w:cs="Arial"/>
                <w:b/>
                <w:sz w:val="22"/>
                <w:u w:val="single"/>
              </w:rPr>
            </w:pPr>
            <w:r w:rsidRPr="00511DCA">
              <w:rPr>
                <w:sz w:val="22"/>
              </w:rPr>
              <w:t>Discriminate between countable and uncountable sets.</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Cs/>
                <w:iCs/>
                <w:sz w:val="22"/>
              </w:rPr>
            </w:pPr>
          </w:p>
        </w:tc>
      </w:tr>
      <w:tr w:rsidR="00D020E8" w:rsidRPr="00511DCA">
        <w:tc>
          <w:tcPr>
            <w:tcW w:w="3420" w:type="dxa"/>
          </w:tcPr>
          <w:p w:rsidR="00D020E8" w:rsidRPr="00511DCA" w:rsidRDefault="00D020E8" w:rsidP="002B1429">
            <w:pPr>
              <w:rPr>
                <w:rFonts w:cs="Arial"/>
                <w:b/>
                <w:sz w:val="22"/>
                <w:u w:val="single"/>
              </w:rPr>
            </w:pPr>
            <w:r w:rsidRPr="00511DCA">
              <w:rPr>
                <w:sz w:val="22"/>
              </w:rPr>
              <w:t xml:space="preserve">Compare and </w:t>
            </w:r>
            <w:r>
              <w:rPr>
                <w:sz w:val="22"/>
              </w:rPr>
              <w:t xml:space="preserve">appraise types </w:t>
            </w:r>
            <w:r w:rsidRPr="00511DCA">
              <w:rPr>
                <w:sz w:val="22"/>
              </w:rPr>
              <w:t>of proof.</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
                <w:bCs/>
                <w:iCs/>
                <w:sz w:val="22"/>
              </w:rPr>
            </w:pPr>
            <w:r>
              <w:rPr>
                <w:rFonts w:cs="Arial"/>
                <w:b/>
                <w:bCs/>
                <w:iCs/>
                <w:sz w:val="22"/>
              </w:rPr>
              <w:t>COM</w:t>
            </w:r>
          </w:p>
        </w:tc>
      </w:tr>
      <w:tr w:rsidR="00D020E8" w:rsidRPr="00511DCA">
        <w:tc>
          <w:tcPr>
            <w:tcW w:w="3420" w:type="dxa"/>
          </w:tcPr>
          <w:p w:rsidR="00D020E8" w:rsidRPr="00511DCA" w:rsidRDefault="00D020E8" w:rsidP="00640515">
            <w:pPr>
              <w:rPr>
                <w:rFonts w:cs="Arial"/>
                <w:sz w:val="22"/>
              </w:rPr>
            </w:pPr>
            <w:r w:rsidRPr="00511DCA">
              <w:rPr>
                <w:rFonts w:cs="Arial"/>
                <w:sz w:val="22"/>
              </w:rPr>
              <w:t>Formulate proofs.</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
                <w:bCs/>
                <w:iCs/>
                <w:sz w:val="22"/>
              </w:rPr>
            </w:pPr>
            <w:r>
              <w:rPr>
                <w:rFonts w:cs="Arial"/>
                <w:b/>
                <w:bCs/>
                <w:iCs/>
                <w:sz w:val="22"/>
              </w:rPr>
              <w:t>CT, QR</w:t>
            </w:r>
          </w:p>
        </w:tc>
      </w:tr>
      <w:tr w:rsidR="00D020E8" w:rsidRPr="00511DCA">
        <w:tc>
          <w:tcPr>
            <w:tcW w:w="3420" w:type="dxa"/>
          </w:tcPr>
          <w:p w:rsidR="00D020E8" w:rsidRPr="00511DCA" w:rsidRDefault="00D020E8" w:rsidP="00640515">
            <w:pPr>
              <w:rPr>
                <w:rFonts w:cs="Arial"/>
                <w:b/>
                <w:sz w:val="22"/>
                <w:u w:val="single"/>
              </w:rPr>
            </w:pPr>
            <w:r w:rsidRPr="00511DCA">
              <w:rPr>
                <w:sz w:val="22"/>
              </w:rPr>
              <w:t>Adapt the method of mathematical induction to particular proofs.</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
                <w:bCs/>
                <w:iCs/>
                <w:sz w:val="22"/>
              </w:rPr>
            </w:pPr>
            <w:r>
              <w:rPr>
                <w:rFonts w:cs="Arial"/>
                <w:b/>
                <w:bCs/>
                <w:iCs/>
                <w:sz w:val="22"/>
              </w:rPr>
              <w:t>CT, COM</w:t>
            </w:r>
          </w:p>
        </w:tc>
      </w:tr>
      <w:tr w:rsidR="00D020E8" w:rsidRPr="00511DCA">
        <w:tc>
          <w:tcPr>
            <w:tcW w:w="3420" w:type="dxa"/>
          </w:tcPr>
          <w:p w:rsidR="00D020E8" w:rsidRPr="00511DCA" w:rsidRDefault="00D020E8" w:rsidP="00640515">
            <w:pPr>
              <w:rPr>
                <w:rFonts w:cs="Arial"/>
                <w:b/>
                <w:sz w:val="22"/>
                <w:u w:val="single"/>
              </w:rPr>
            </w:pPr>
            <w:r w:rsidRPr="00511DCA">
              <w:rPr>
                <w:sz w:val="22"/>
              </w:rPr>
              <w:t xml:space="preserve">Analyze group axioms. </w:t>
            </w:r>
            <w:r w:rsidRPr="00511DCA">
              <w:rPr>
                <w:sz w:val="22"/>
              </w:rPr>
              <w:br/>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Cs/>
                <w:iCs/>
                <w:sz w:val="22"/>
              </w:rPr>
            </w:pPr>
          </w:p>
        </w:tc>
      </w:tr>
      <w:tr w:rsidR="00D020E8" w:rsidRPr="00511DCA">
        <w:tc>
          <w:tcPr>
            <w:tcW w:w="3420" w:type="dxa"/>
          </w:tcPr>
          <w:p w:rsidR="00D020E8" w:rsidRPr="00511DCA" w:rsidRDefault="00D020E8" w:rsidP="00640515">
            <w:pPr>
              <w:rPr>
                <w:rFonts w:cs="Arial"/>
                <w:b/>
                <w:sz w:val="22"/>
                <w:u w:val="single"/>
              </w:rPr>
            </w:pPr>
            <w:r w:rsidRPr="00511DCA">
              <w:rPr>
                <w:sz w:val="22"/>
              </w:rPr>
              <w:t>Discriminate between functions and relations.</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
                <w:bCs/>
                <w:iCs/>
                <w:sz w:val="22"/>
              </w:rPr>
            </w:pPr>
          </w:p>
        </w:tc>
      </w:tr>
      <w:tr w:rsidR="00D020E8" w:rsidRPr="00511DCA">
        <w:tc>
          <w:tcPr>
            <w:tcW w:w="3420" w:type="dxa"/>
          </w:tcPr>
          <w:p w:rsidR="00D020E8" w:rsidRPr="00511DCA" w:rsidRDefault="00D020E8" w:rsidP="00640515">
            <w:pPr>
              <w:rPr>
                <w:rFonts w:cs="Arial"/>
                <w:sz w:val="22"/>
              </w:rPr>
            </w:pPr>
            <w:r w:rsidRPr="00511DCA">
              <w:rPr>
                <w:rFonts w:cs="Arial"/>
                <w:sz w:val="22"/>
              </w:rPr>
              <w:t>Complete oper</w:t>
            </w:r>
            <w:r>
              <w:rPr>
                <w:rFonts w:cs="Arial"/>
                <w:sz w:val="22"/>
              </w:rPr>
              <w:t>ations with indexed families of</w:t>
            </w:r>
            <w:r w:rsidRPr="00511DCA">
              <w:rPr>
                <w:rFonts w:cs="Arial"/>
                <w:sz w:val="22"/>
              </w:rPr>
              <w:t xml:space="preserve"> sets.</w:t>
            </w:r>
          </w:p>
        </w:tc>
        <w:tc>
          <w:tcPr>
            <w:tcW w:w="2790" w:type="dxa"/>
            <w:vMerge/>
            <w:shd w:val="clear" w:color="auto" w:fill="auto"/>
          </w:tcPr>
          <w:p w:rsidR="00D020E8" w:rsidRPr="00A24B96" w:rsidRDefault="00D020E8" w:rsidP="00506B98">
            <w:pPr>
              <w:rPr>
                <w:rFonts w:cs="Arial"/>
                <w:bCs/>
                <w:iCs/>
                <w:sz w:val="22"/>
              </w:rPr>
            </w:pPr>
          </w:p>
        </w:tc>
        <w:tc>
          <w:tcPr>
            <w:tcW w:w="2790" w:type="dxa"/>
            <w:gridSpan w:val="2"/>
            <w:shd w:val="clear" w:color="auto" w:fill="auto"/>
          </w:tcPr>
          <w:p w:rsidR="00D020E8" w:rsidRPr="00511DCA" w:rsidRDefault="00D020E8" w:rsidP="00506B98">
            <w:pPr>
              <w:rPr>
                <w:rFonts w:cs="Arial"/>
                <w:bCs/>
                <w:iCs/>
                <w:sz w:val="22"/>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D04A6">
            <w:rPr>
              <w:caps/>
            </w:rPr>
            <w:t>ADVANCED AND PROFESSIONAL - 1.16.17 - MATHEMATICS</w:t>
          </w:r>
        </w:sdtContent>
      </w:sdt>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1D04A6">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11427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11427A">
            <w:rPr>
              <w:caps/>
            </w:rPr>
            <w:t>No</w:t>
          </w:r>
        </w:sdtContent>
      </w:sdt>
    </w:p>
    <w:p w:rsidR="003E6472" w:rsidRDefault="003E6472" w:rsidP="003E33D3">
      <w:pPr>
        <w:tabs>
          <w:tab w:val="left" w:pos="3690"/>
        </w:tabs>
        <w:spacing w:after="120"/>
        <w:rPr>
          <w:b/>
          <w:caps/>
        </w:rPr>
      </w:pPr>
      <w:r w:rsidRPr="001F116A">
        <w:rPr>
          <w:b/>
          <w:caps/>
        </w:rPr>
        <w:lastRenderedPageBreak/>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11427A">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1427A">
            <w:rPr>
              <w:caps/>
            </w:rPr>
            <w:t>No</w:t>
          </w:r>
        </w:sdtContent>
      </w:sdt>
    </w:p>
    <w:p w:rsidR="001F116A" w:rsidRDefault="001F116A" w:rsidP="001F116A">
      <w:pPr>
        <w:spacing w:after="120"/>
        <w:rPr>
          <w:b/>
          <w:caps/>
        </w:rPr>
      </w:pPr>
      <w:r w:rsidRPr="001F116A">
        <w:rPr>
          <w:b/>
          <w:caps/>
        </w:rPr>
        <w:t>WILL THIS NEW COURSE HAVE AN IMPACT ON OTHER COURSES, PROGRAMS OR DEPARTMENTS?</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11427A">
            <w:rPr>
              <w:caps/>
            </w:rPr>
            <w:t>No</w:t>
          </w:r>
        </w:sdtContent>
      </w:sdt>
    </w:p>
    <w:p w:rsidR="003E33D3" w:rsidRDefault="003E33D3" w:rsidP="001F116A">
      <w:pPr>
        <w:spacing w:after="120"/>
        <w:rPr>
          <w:b/>
          <w:caps/>
        </w:rPr>
      </w:pPr>
      <w:r>
        <w:rPr>
          <w:b/>
          <w:caps/>
        </w:rPr>
        <w:t>eXPLAIN:</w:t>
      </w:r>
    </w:p>
    <w:p w:rsidR="003E33D3" w:rsidRPr="001F116A" w:rsidRDefault="0045747B"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45747B"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11427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5747B"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11427A">
            <w:rPr>
              <w:caps/>
            </w:rPr>
            <w:t>Course is currently offered to our students at FGCU. Edison plans to offer this on our campus.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11427A">
            <w:rPr>
              <w:caps/>
            </w:rPr>
            <w:t>Spring</w:t>
          </w:r>
        </w:sdtContent>
      </w:sdt>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45747B"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0534DE" w:rsidP="009B1DF4">
      <w:pPr>
        <w:spacing w:after="0"/>
        <w:rPr>
          <w:caps/>
        </w:rPr>
      </w:pPr>
      <w:r w:rsidRPr="0045747B">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v:shape>
        </w:pic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D04A6" w:rsidP="00862C96">
      <w:pPr>
        <w:spacing w:after="0"/>
        <w:rPr>
          <w:caps/>
        </w:rPr>
      </w:pPr>
      <w:r>
        <w:rPr>
          <w:caps/>
        </w:rPr>
        <w:t>Jo ann lewin, scott berthiaume, laurice garrett</w:t>
      </w:r>
    </w:p>
    <w:p w:rsidR="00E819B1" w:rsidRPr="009B1DF4" w:rsidRDefault="0019737B" w:rsidP="00862C96">
      <w:pPr>
        <w:spacing w:after="0"/>
        <w:rPr>
          <w:b/>
          <w:caps/>
        </w:rPr>
      </w:pPr>
      <w:r w:rsidRPr="009B1DF4">
        <w:rPr>
          <w:b/>
          <w:caps/>
        </w:rPr>
        <w:t>DEPARTMENT CHAIR / PROGRAM COORDINATOR ENDORSEMENT:</w:t>
      </w:r>
    </w:p>
    <w:p w:rsidR="0019737B" w:rsidRPr="00872D20" w:rsidRDefault="0045747B" w:rsidP="00862C96">
      <w:pPr>
        <w:spacing w:after="0"/>
        <w:rPr>
          <w:caps/>
        </w:rPr>
      </w:pPr>
      <w:r w:rsidRPr="0045747B">
        <w:rPr>
          <w:caps/>
        </w:rPr>
        <w:pict>
          <v:shape id="_x0000_i1026" type="#_x0000_t75" style="width:263.5pt;height:17.5pt">
            <v:imagedata r:id="rId9" o:title=""/>
          </v:shape>
        </w:pi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45747B" w:rsidP="00862C96">
      <w:pPr>
        <w:spacing w:after="0"/>
        <w:rPr>
          <w:caps/>
        </w:rPr>
      </w:pPr>
      <w:r w:rsidRPr="0045747B">
        <w:rPr>
          <w:caps/>
        </w:rPr>
        <w:pict>
          <v:shape id="_x0000_i1027" type="#_x0000_t75" style="width:263.5pt;height:17.5pt">
            <v:imagedata r:id="rId9" o:title=""/>
          </v:shape>
        </w:pi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45747B" w:rsidP="00862C96">
      <w:pPr>
        <w:spacing w:after="0"/>
        <w:rPr>
          <w:caps/>
        </w:rPr>
      </w:pPr>
      <w:r w:rsidRPr="0045747B">
        <w:rPr>
          <w:caps/>
        </w:rPr>
        <w:pict>
          <v:shape id="_x0000_i1028" type="#_x0000_t75" style="width:263.5pt;height:17.5pt">
            <v:imagedata r:id="rId9" o:title=""/>
          </v:shape>
        </w:pi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45747B" w:rsidP="00862C96">
      <w:pPr>
        <w:spacing w:after="0"/>
        <w:rPr>
          <w:caps/>
        </w:rPr>
      </w:pPr>
      <w:r w:rsidRPr="0045747B">
        <w:rPr>
          <w:caps/>
        </w:rPr>
        <w:pict>
          <v:shape id="_x0000_i1029" type="#_x0000_t75" style="width:263.5pt;height:17.5pt">
            <v:imagedata r:id="rId9" o:title=""/>
          </v:shape>
        </w:pi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45747B"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0"/>
      <w:headerReference w:type="first" r:id="rId11"/>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DB8" w:rsidRDefault="006D0DB8" w:rsidP="00FD4DEE">
      <w:pPr>
        <w:spacing w:after="0" w:line="240" w:lineRule="auto"/>
      </w:pPr>
      <w:r>
        <w:separator/>
      </w:r>
    </w:p>
  </w:endnote>
  <w:endnote w:type="continuationSeparator" w:id="1">
    <w:p w:rsidR="006D0DB8" w:rsidRDefault="006D0DB8"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DB8" w:rsidRDefault="006D0DB8" w:rsidP="00FD4DEE">
      <w:pPr>
        <w:spacing w:after="0" w:line="240" w:lineRule="auto"/>
      </w:pPr>
      <w:r>
        <w:separator/>
      </w:r>
    </w:p>
  </w:footnote>
  <w:footnote w:type="continuationSeparator" w:id="1">
    <w:p w:rsidR="006D0DB8" w:rsidRDefault="006D0DB8"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237"/>
    <w:multiLevelType w:val="hybridMultilevel"/>
    <w:tmpl w:val="095C6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rawingGridHorizontalSpacing w:val="100"/>
  <w:displayHorizontalDrawingGridEvery w:val="2"/>
  <w:characterSpacingControl w:val="doNotCompress"/>
  <w:hdrShapeDefaults>
    <o:shapedefaults v:ext="edit" spidmax="6146">
      <o:colormenu v:ext="edit" fillcolor="none" strokecolor="none"/>
    </o:shapedefaults>
  </w:hdrShapeDefaults>
  <w:footnotePr>
    <w:footnote w:id="0"/>
    <w:footnote w:id="1"/>
  </w:footnotePr>
  <w:endnotePr>
    <w:endnote w:id="0"/>
    <w:endnote w:id="1"/>
  </w:endnotePr>
  <w:compat/>
  <w:rsids>
    <w:rsidRoot w:val="00FD4DEE"/>
    <w:rsid w:val="0004057E"/>
    <w:rsid w:val="000534DE"/>
    <w:rsid w:val="00074DF9"/>
    <w:rsid w:val="00081C89"/>
    <w:rsid w:val="000E1D88"/>
    <w:rsid w:val="00111F11"/>
    <w:rsid w:val="0011427A"/>
    <w:rsid w:val="0011432E"/>
    <w:rsid w:val="0019737B"/>
    <w:rsid w:val="001B3C0F"/>
    <w:rsid w:val="001B66C6"/>
    <w:rsid w:val="001C18AE"/>
    <w:rsid w:val="001D04A6"/>
    <w:rsid w:val="001F116A"/>
    <w:rsid w:val="00205E64"/>
    <w:rsid w:val="00220FA2"/>
    <w:rsid w:val="00250B1E"/>
    <w:rsid w:val="00293316"/>
    <w:rsid w:val="002D6038"/>
    <w:rsid w:val="002F3037"/>
    <w:rsid w:val="00307986"/>
    <w:rsid w:val="00311B56"/>
    <w:rsid w:val="003E33D3"/>
    <w:rsid w:val="003E6472"/>
    <w:rsid w:val="004468B7"/>
    <w:rsid w:val="0045747B"/>
    <w:rsid w:val="0049214C"/>
    <w:rsid w:val="004A2E11"/>
    <w:rsid w:val="004A3EED"/>
    <w:rsid w:val="004B79EF"/>
    <w:rsid w:val="004F35FB"/>
    <w:rsid w:val="005119C1"/>
    <w:rsid w:val="00525C08"/>
    <w:rsid w:val="00552D66"/>
    <w:rsid w:val="00553FEF"/>
    <w:rsid w:val="00587472"/>
    <w:rsid w:val="00596792"/>
    <w:rsid w:val="005E052D"/>
    <w:rsid w:val="005E1F08"/>
    <w:rsid w:val="00602709"/>
    <w:rsid w:val="00634272"/>
    <w:rsid w:val="00651DD4"/>
    <w:rsid w:val="00685810"/>
    <w:rsid w:val="006D0DB8"/>
    <w:rsid w:val="006D66BE"/>
    <w:rsid w:val="006E2DEC"/>
    <w:rsid w:val="006E66D3"/>
    <w:rsid w:val="007C35B3"/>
    <w:rsid w:val="007D0604"/>
    <w:rsid w:val="00803A0A"/>
    <w:rsid w:val="00817420"/>
    <w:rsid w:val="00824EE7"/>
    <w:rsid w:val="008470F0"/>
    <w:rsid w:val="00862C96"/>
    <w:rsid w:val="00864F63"/>
    <w:rsid w:val="00872D20"/>
    <w:rsid w:val="008B7824"/>
    <w:rsid w:val="008F1C26"/>
    <w:rsid w:val="00905056"/>
    <w:rsid w:val="00916F6A"/>
    <w:rsid w:val="00925D32"/>
    <w:rsid w:val="0094584E"/>
    <w:rsid w:val="00951692"/>
    <w:rsid w:val="009B1DF4"/>
    <w:rsid w:val="00A75E3A"/>
    <w:rsid w:val="00A87420"/>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020E8"/>
    <w:rsid w:val="00D5027E"/>
    <w:rsid w:val="00D56DAB"/>
    <w:rsid w:val="00D626F1"/>
    <w:rsid w:val="00D8205A"/>
    <w:rsid w:val="00DA344F"/>
    <w:rsid w:val="00DB26D2"/>
    <w:rsid w:val="00DD447B"/>
    <w:rsid w:val="00E24E2F"/>
    <w:rsid w:val="00E74BC2"/>
    <w:rsid w:val="00E819B1"/>
    <w:rsid w:val="00E852F2"/>
    <w:rsid w:val="00E85C72"/>
    <w:rsid w:val="00E9708E"/>
    <w:rsid w:val="00ED5D80"/>
    <w:rsid w:val="00EE1FA5"/>
    <w:rsid w:val="00EF40F3"/>
    <w:rsid w:val="00F147E9"/>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oNotTrackMoves/>
  <w:defaultTabStop w:val="720"/>
  <w:characterSpacingControl w:val="doNotCompress"/>
  <w:compat>
    <w:useFELayout/>
  </w:compat>
  <w:rsids>
    <w:rsidRoot w:val="00397B4B"/>
    <w:rsid w:val="0000474C"/>
    <w:rsid w:val="0010267D"/>
    <w:rsid w:val="00274630"/>
    <w:rsid w:val="002E0D5E"/>
    <w:rsid w:val="00397B4B"/>
    <w:rsid w:val="003E36D7"/>
    <w:rsid w:val="00554C08"/>
    <w:rsid w:val="005B6661"/>
    <w:rsid w:val="006166E9"/>
    <w:rsid w:val="007B2FA2"/>
    <w:rsid w:val="0084608C"/>
    <w:rsid w:val="009B3291"/>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B88A-FEF4-E74C-BEBB-9FF54C96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dransford</cp:lastModifiedBy>
  <cp:revision>2</cp:revision>
  <cp:lastPrinted>2010-08-26T00:38:00Z</cp:lastPrinted>
  <dcterms:created xsi:type="dcterms:W3CDTF">2010-11-15T20:50:00Z</dcterms:created>
  <dcterms:modified xsi:type="dcterms:W3CDTF">2010-11-15T20:50:00Z</dcterms:modified>
</cp:coreProperties>
</file>